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B5A8C" w14:textId="77777777" w:rsidR="007F53DA" w:rsidRDefault="007F53DA">
      <w:pPr>
        <w:spacing w:line="383" w:lineRule="exact"/>
        <w:ind w:left="72"/>
        <w:jc w:val="center"/>
        <w:textAlignment w:val="baseline"/>
        <w:rPr>
          <w:rFonts w:eastAsia="Times New Roman"/>
          <w:b/>
          <w:color w:val="000000"/>
        </w:rPr>
      </w:pPr>
      <w:r>
        <w:rPr>
          <w:rFonts w:eastAsia="Times New Roman"/>
          <w:b/>
          <w:color w:val="000000"/>
        </w:rPr>
        <w:t>Amending Conditions</w:t>
      </w:r>
    </w:p>
    <w:p w14:paraId="5612AC4B" w14:textId="3AD94EA8" w:rsidR="00872006" w:rsidRDefault="002D72B0">
      <w:pPr>
        <w:spacing w:line="383" w:lineRule="exact"/>
        <w:ind w:left="72"/>
        <w:jc w:val="center"/>
        <w:textAlignment w:val="baseline"/>
        <w:rPr>
          <w:rFonts w:eastAsia="Times New Roman"/>
          <w:b/>
          <w:color w:val="000000"/>
        </w:rPr>
      </w:pPr>
      <w:r>
        <w:rPr>
          <w:rFonts w:eastAsia="Times New Roman"/>
          <w:b/>
          <w:color w:val="000000"/>
        </w:rPr>
        <w:t xml:space="preserve">ARTICLE 70. </w:t>
      </w:r>
      <w:r>
        <w:rPr>
          <w:rFonts w:eastAsia="Times New Roman"/>
          <w:b/>
          <w:color w:val="000000"/>
        </w:rPr>
        <w:br/>
        <w:t>PD. 70.</w:t>
      </w:r>
    </w:p>
    <w:p w14:paraId="25688A18" w14:textId="77777777" w:rsidR="00872006" w:rsidRDefault="002D72B0">
      <w:pPr>
        <w:tabs>
          <w:tab w:val="left" w:pos="2952"/>
        </w:tabs>
        <w:spacing w:before="510" w:line="249" w:lineRule="exact"/>
        <w:ind w:left="72"/>
        <w:textAlignment w:val="baseline"/>
        <w:rPr>
          <w:rFonts w:eastAsia="Times New Roman"/>
          <w:b/>
          <w:color w:val="000000"/>
        </w:rPr>
      </w:pPr>
      <w:r>
        <w:rPr>
          <w:rFonts w:eastAsia="Times New Roman"/>
          <w:b/>
          <w:color w:val="000000"/>
        </w:rPr>
        <w:t>SEC. 51P-70.101.</w:t>
      </w:r>
      <w:r>
        <w:rPr>
          <w:rFonts w:eastAsia="Times New Roman"/>
          <w:b/>
          <w:color w:val="000000"/>
        </w:rPr>
        <w:tab/>
        <w:t>LEGISLATIVE HISTORY.</w:t>
      </w:r>
    </w:p>
    <w:p w14:paraId="3686942F" w14:textId="77777777" w:rsidR="00872006" w:rsidRDefault="002D72B0">
      <w:pPr>
        <w:spacing w:before="239" w:line="254" w:lineRule="exact"/>
        <w:ind w:left="72" w:firstLine="720"/>
        <w:jc w:val="both"/>
        <w:textAlignment w:val="baseline"/>
        <w:rPr>
          <w:rFonts w:eastAsia="Times New Roman"/>
          <w:color w:val="000000"/>
          <w:spacing w:val="-1"/>
        </w:rPr>
      </w:pPr>
      <w:r>
        <w:rPr>
          <w:rFonts w:eastAsia="Times New Roman"/>
          <w:color w:val="000000"/>
          <w:spacing w:val="-1"/>
        </w:rPr>
        <w:t xml:space="preserve">PD 70 was established by Ordinance No. 14645, passed by the Dallas City Council on August 19, 1974. Ordinance No. 14645 </w:t>
      </w:r>
      <w:proofErr w:type="gramStart"/>
      <w:r>
        <w:rPr>
          <w:rFonts w:eastAsia="Times New Roman"/>
          <w:color w:val="000000"/>
          <w:spacing w:val="-1"/>
        </w:rPr>
        <w:t>amended</w:t>
      </w:r>
      <w:proofErr w:type="gramEnd"/>
      <w:r>
        <w:rPr>
          <w:rFonts w:eastAsia="Times New Roman"/>
          <w:color w:val="000000"/>
          <w:spacing w:val="-1"/>
        </w:rPr>
        <w:t xml:space="preserve"> Ordinance No. 10962, Chapter 51 of the 1960 Revised Code of Civil and Criminal Ordinances of the City of Dallas. Ordinance No. 14645 was amended by Ordinance No. 18360, passed by the Dallas City Council on August 15, 1984, and Ordinance No. 21348, passed by the Dallas City Council on June 24, 1992. (Ord. Nos. 10962; 14645; 18360; 21348; 25423; 25884; 28905)</w:t>
      </w:r>
    </w:p>
    <w:p w14:paraId="63EFA444" w14:textId="77777777" w:rsidR="00872006" w:rsidRDefault="002D72B0">
      <w:pPr>
        <w:tabs>
          <w:tab w:val="left" w:pos="2952"/>
        </w:tabs>
        <w:spacing w:before="522" w:line="249" w:lineRule="exact"/>
        <w:ind w:left="72"/>
        <w:textAlignment w:val="baseline"/>
        <w:rPr>
          <w:rFonts w:eastAsia="Times New Roman"/>
          <w:b/>
          <w:color w:val="000000"/>
        </w:rPr>
      </w:pPr>
      <w:r>
        <w:rPr>
          <w:rFonts w:eastAsia="Times New Roman"/>
          <w:b/>
          <w:color w:val="000000"/>
        </w:rPr>
        <w:t>SEC. 51P-70.102.</w:t>
      </w:r>
      <w:r>
        <w:rPr>
          <w:rFonts w:eastAsia="Times New Roman"/>
          <w:b/>
          <w:color w:val="000000"/>
        </w:rPr>
        <w:tab/>
        <w:t>PROPERTY LOCATION AND SIZE.</w:t>
      </w:r>
    </w:p>
    <w:p w14:paraId="7B7DB2B2" w14:textId="77777777" w:rsidR="00872006" w:rsidRDefault="002D72B0">
      <w:pPr>
        <w:spacing w:before="238" w:line="254" w:lineRule="exact"/>
        <w:ind w:left="72" w:firstLine="720"/>
        <w:jc w:val="both"/>
        <w:textAlignment w:val="baseline"/>
        <w:rPr>
          <w:rFonts w:eastAsia="Times New Roman"/>
          <w:color w:val="000000"/>
        </w:rPr>
      </w:pPr>
      <w:r>
        <w:rPr>
          <w:rFonts w:eastAsia="Times New Roman"/>
          <w:color w:val="000000"/>
        </w:rPr>
        <w:t>PD 70 is established on property generally located at the northeast corner of Northwest Highway (Loop 12) and Midway Road. The size of PD 70 is approximately 7.9806 acres. (Ord. Nos. 14645; 25423; 25884; 28905)</w:t>
      </w:r>
    </w:p>
    <w:p w14:paraId="203D4962" w14:textId="77777777" w:rsidR="00872006" w:rsidRDefault="002D72B0">
      <w:pPr>
        <w:tabs>
          <w:tab w:val="left" w:pos="2952"/>
        </w:tabs>
        <w:spacing w:before="522" w:line="249" w:lineRule="exact"/>
        <w:ind w:left="72"/>
        <w:textAlignment w:val="baseline"/>
        <w:rPr>
          <w:rFonts w:eastAsia="Times New Roman"/>
          <w:b/>
          <w:color w:val="000000"/>
        </w:rPr>
      </w:pPr>
      <w:r>
        <w:rPr>
          <w:rFonts w:eastAsia="Times New Roman"/>
          <w:b/>
          <w:color w:val="000000"/>
        </w:rPr>
        <w:t>SEC. 51P-70.103.</w:t>
      </w:r>
      <w:r>
        <w:rPr>
          <w:rFonts w:eastAsia="Times New Roman"/>
          <w:b/>
          <w:color w:val="000000"/>
        </w:rPr>
        <w:tab/>
        <w:t>DEFINITIONS AND INTERPRETATIONS.</w:t>
      </w:r>
    </w:p>
    <w:p w14:paraId="6A34EBAC" w14:textId="77777777" w:rsidR="00872006" w:rsidRDefault="002D72B0">
      <w:pPr>
        <w:tabs>
          <w:tab w:val="left" w:pos="1512"/>
        </w:tabs>
        <w:spacing w:before="243" w:line="254" w:lineRule="exact"/>
        <w:ind w:left="72" w:firstLine="720"/>
        <w:jc w:val="both"/>
        <w:textAlignment w:val="baseline"/>
        <w:rPr>
          <w:rFonts w:eastAsia="Times New Roman"/>
          <w:color w:val="000000"/>
        </w:rPr>
      </w:pPr>
      <w:r>
        <w:rPr>
          <w:rFonts w:eastAsia="Times New Roman"/>
          <w:color w:val="000000"/>
        </w:rPr>
        <w:t>(a)</w:t>
      </w:r>
      <w:r>
        <w:rPr>
          <w:rFonts w:eastAsia="Times New Roman"/>
          <w:color w:val="000000"/>
        </w:rPr>
        <w:tab/>
        <w:t>Unless otherwise stated, the definitions and interpretations in Chapter 51A apply to this article. In this article,</w:t>
      </w:r>
    </w:p>
    <w:p w14:paraId="0B4212BC" w14:textId="77777777" w:rsidR="00872006" w:rsidRDefault="002D72B0">
      <w:pPr>
        <w:numPr>
          <w:ilvl w:val="0"/>
          <w:numId w:val="1"/>
        </w:numPr>
        <w:tabs>
          <w:tab w:val="clear" w:pos="720"/>
          <w:tab w:val="left" w:pos="2232"/>
        </w:tabs>
        <w:spacing w:before="250" w:line="254" w:lineRule="exact"/>
        <w:ind w:left="72" w:firstLine="1440"/>
        <w:jc w:val="both"/>
        <w:textAlignment w:val="baseline"/>
        <w:rPr>
          <w:rFonts w:eastAsia="Times New Roman"/>
          <w:color w:val="000000"/>
        </w:rPr>
      </w:pPr>
      <w:r>
        <w:rPr>
          <w:rFonts w:eastAsia="Times New Roman"/>
          <w:color w:val="000000"/>
        </w:rPr>
        <w:t>MASSAGE ESTABLISHMENT and MASSAGE mean a massage establishment or massage as defined by Texas Occupation Code Chapter 455, as amended.</w:t>
      </w:r>
    </w:p>
    <w:p w14:paraId="00D56355" w14:textId="77777777" w:rsidR="00872006" w:rsidRDefault="002D72B0">
      <w:pPr>
        <w:numPr>
          <w:ilvl w:val="0"/>
          <w:numId w:val="1"/>
        </w:numPr>
        <w:tabs>
          <w:tab w:val="clear" w:pos="720"/>
          <w:tab w:val="left" w:pos="2232"/>
        </w:tabs>
        <w:spacing w:before="247" w:line="254" w:lineRule="exact"/>
        <w:ind w:left="72" w:firstLine="1440"/>
        <w:jc w:val="both"/>
        <w:textAlignment w:val="baseline"/>
        <w:rPr>
          <w:rFonts w:eastAsia="Times New Roman"/>
          <w:color w:val="000000"/>
        </w:rPr>
      </w:pPr>
      <w:r>
        <w:rPr>
          <w:rFonts w:eastAsia="Times New Roman"/>
          <w:color w:val="000000"/>
        </w:rPr>
        <w:t>TATTOO OR BODY PIERCING STUDIO means a business in which tattooing or body piercing is performed. TATTOOING means the practice of producing an indelible mark or figure on the human body by scarring or inserting a pigment under the skin using needles, scalpels, or other related equipment. BODY PIERCING means the piercing of body parts, other than ears, for purposes of allowing the insertion of jewelry.</w:t>
      </w:r>
    </w:p>
    <w:p w14:paraId="15506DBA" w14:textId="77777777" w:rsidR="00872006" w:rsidRDefault="002D72B0">
      <w:pPr>
        <w:tabs>
          <w:tab w:val="left" w:pos="1512"/>
        </w:tabs>
        <w:spacing w:before="250" w:line="254" w:lineRule="exact"/>
        <w:ind w:left="72" w:firstLine="720"/>
        <w:jc w:val="both"/>
        <w:textAlignment w:val="baseline"/>
        <w:rPr>
          <w:rFonts w:eastAsia="Times New Roman"/>
          <w:color w:val="000000"/>
        </w:rPr>
      </w:pPr>
      <w:r>
        <w:rPr>
          <w:rFonts w:eastAsia="Times New Roman"/>
          <w:color w:val="000000"/>
        </w:rPr>
        <w:t>(b)</w:t>
      </w:r>
      <w:r>
        <w:rPr>
          <w:rFonts w:eastAsia="Times New Roman"/>
          <w:color w:val="000000"/>
        </w:rPr>
        <w:tab/>
        <w:t>Unless otherwise stated, all references to articles, divisions, or sections in this article are to articles, divisions, or sections in Chapter 51A.</w:t>
      </w:r>
    </w:p>
    <w:p w14:paraId="498E34BD" w14:textId="77777777" w:rsidR="00872006" w:rsidRDefault="002D72B0">
      <w:pPr>
        <w:tabs>
          <w:tab w:val="left" w:pos="1512"/>
        </w:tabs>
        <w:spacing w:before="251" w:line="254" w:lineRule="exact"/>
        <w:ind w:left="72" w:firstLine="720"/>
        <w:jc w:val="both"/>
        <w:textAlignment w:val="baseline"/>
        <w:rPr>
          <w:rFonts w:eastAsia="Times New Roman"/>
          <w:color w:val="000000"/>
        </w:rPr>
      </w:pPr>
      <w:r>
        <w:rPr>
          <w:rFonts w:eastAsia="Times New Roman"/>
          <w:color w:val="000000"/>
        </w:rPr>
        <w:t>(c)</w:t>
      </w:r>
      <w:r>
        <w:rPr>
          <w:rFonts w:eastAsia="Times New Roman"/>
          <w:color w:val="000000"/>
        </w:rPr>
        <w:tab/>
        <w:t xml:space="preserve">This district </w:t>
      </w:r>
      <w:proofErr w:type="gramStart"/>
      <w:r>
        <w:rPr>
          <w:rFonts w:eastAsia="Times New Roman"/>
          <w:color w:val="000000"/>
        </w:rPr>
        <w:t>is considered to be</w:t>
      </w:r>
      <w:proofErr w:type="gramEnd"/>
      <w:r>
        <w:rPr>
          <w:rFonts w:eastAsia="Times New Roman"/>
          <w:color w:val="000000"/>
        </w:rPr>
        <w:t xml:space="preserve"> a nonresidential zoning district. (Ord. Nos. 25423; 25884; 28905)</w:t>
      </w:r>
    </w:p>
    <w:p w14:paraId="6F8A1687" w14:textId="77777777" w:rsidR="00872006" w:rsidRDefault="002D72B0">
      <w:pPr>
        <w:tabs>
          <w:tab w:val="left" w:pos="2952"/>
        </w:tabs>
        <w:spacing w:before="517" w:line="249" w:lineRule="exact"/>
        <w:ind w:left="72"/>
        <w:textAlignment w:val="baseline"/>
        <w:rPr>
          <w:rFonts w:eastAsia="Times New Roman"/>
          <w:b/>
          <w:color w:val="000000"/>
        </w:rPr>
      </w:pPr>
      <w:r>
        <w:rPr>
          <w:rFonts w:eastAsia="Times New Roman"/>
          <w:b/>
          <w:color w:val="000000"/>
        </w:rPr>
        <w:t>SEC. 51P-70.104.</w:t>
      </w:r>
      <w:r>
        <w:rPr>
          <w:rFonts w:eastAsia="Times New Roman"/>
          <w:b/>
          <w:color w:val="000000"/>
        </w:rPr>
        <w:tab/>
        <w:t>CONCEPTUAL AND DEVELOPMENT PLANS.</w:t>
      </w:r>
    </w:p>
    <w:p w14:paraId="1F8F35BA" w14:textId="77777777" w:rsidR="00872006" w:rsidRDefault="002D72B0">
      <w:pPr>
        <w:spacing w:before="243" w:line="254" w:lineRule="exact"/>
        <w:ind w:left="72" w:firstLine="720"/>
        <w:jc w:val="both"/>
        <w:textAlignment w:val="baseline"/>
        <w:rPr>
          <w:rFonts w:eastAsia="Times New Roman"/>
          <w:color w:val="000000"/>
        </w:rPr>
      </w:pPr>
      <w:r>
        <w:rPr>
          <w:rFonts w:eastAsia="Times New Roman"/>
          <w:color w:val="000000"/>
        </w:rPr>
        <w:t>No conceptual plan or development plan is required, and the provisions of Section 51A-4.702 regarding submission of or amendments to a development plan, site analysis plan, conceptual plan, development schedule, and landscape plan do not apply. (Ord. Nos. 14645; 25423; 25884; 28905)</w:t>
      </w:r>
    </w:p>
    <w:p w14:paraId="540CDDA3" w14:textId="77777777" w:rsidR="00872006" w:rsidRDefault="00872006">
      <w:pPr>
        <w:sectPr w:rsidR="00872006">
          <w:pgSz w:w="12240" w:h="15840"/>
          <w:pgMar w:top="1440" w:right="1399" w:bottom="2104" w:left="1341" w:header="720" w:footer="720" w:gutter="0"/>
          <w:cols w:space="720"/>
        </w:sectPr>
      </w:pPr>
    </w:p>
    <w:p w14:paraId="0C9F917B" w14:textId="77777777" w:rsidR="00872006" w:rsidRDefault="002D72B0">
      <w:pPr>
        <w:tabs>
          <w:tab w:val="left" w:pos="2880"/>
        </w:tabs>
        <w:spacing w:before="18" w:line="244" w:lineRule="exact"/>
        <w:ind w:left="72"/>
        <w:textAlignment w:val="baseline"/>
        <w:rPr>
          <w:rFonts w:eastAsia="Times New Roman"/>
          <w:b/>
          <w:color w:val="000000"/>
        </w:rPr>
      </w:pPr>
      <w:r>
        <w:rPr>
          <w:rFonts w:eastAsia="Times New Roman"/>
          <w:b/>
          <w:color w:val="000000"/>
        </w:rPr>
        <w:lastRenderedPageBreak/>
        <w:t>SEC. 51P-70.105.</w:t>
      </w:r>
      <w:r>
        <w:rPr>
          <w:rFonts w:eastAsia="Times New Roman"/>
          <w:b/>
          <w:color w:val="000000"/>
        </w:rPr>
        <w:tab/>
        <w:t>MAIN USES PERMITTED.</w:t>
      </w:r>
    </w:p>
    <w:p w14:paraId="609CD84D" w14:textId="77777777" w:rsidR="00872006" w:rsidRDefault="002D72B0">
      <w:pPr>
        <w:numPr>
          <w:ilvl w:val="0"/>
          <w:numId w:val="2"/>
        </w:numPr>
        <w:tabs>
          <w:tab w:val="clear" w:pos="720"/>
          <w:tab w:val="left" w:pos="1512"/>
        </w:tabs>
        <w:spacing w:before="259" w:line="252" w:lineRule="exact"/>
        <w:ind w:left="72" w:right="72" w:firstLine="720"/>
        <w:jc w:val="both"/>
        <w:textAlignment w:val="baseline"/>
        <w:rPr>
          <w:rFonts w:eastAsia="Times New Roman"/>
          <w:color w:val="000000"/>
        </w:rPr>
      </w:pPr>
      <w:r>
        <w:rPr>
          <w:rFonts w:eastAsia="Times New Roman"/>
          <w:color w:val="000000"/>
        </w:rPr>
        <w:t>Except as provided in this section, the only main uses permitted are those main uses permitted in the CR Community Retail District, subject to the same conditions applicable in the CR Community Retail District, as set out in Article 51A of the Dallas Development Code, as amended. For example, a use permitted in the CR Community Retail District only by specific use permit (SUP) is permitted in this district only by SUP; a use subject to development impact review (DIR) in the CR Community Retail District is subject to DIR in this district; etc.</w:t>
      </w:r>
    </w:p>
    <w:p w14:paraId="7C22D9C9" w14:textId="77777777" w:rsidR="00872006" w:rsidRDefault="002D72B0">
      <w:pPr>
        <w:numPr>
          <w:ilvl w:val="0"/>
          <w:numId w:val="2"/>
        </w:numPr>
        <w:tabs>
          <w:tab w:val="clear" w:pos="720"/>
          <w:tab w:val="left" w:pos="1512"/>
        </w:tabs>
        <w:spacing w:before="256" w:line="248" w:lineRule="exact"/>
        <w:ind w:left="72" w:firstLine="720"/>
        <w:jc w:val="both"/>
        <w:textAlignment w:val="baseline"/>
        <w:rPr>
          <w:rFonts w:eastAsia="Times New Roman"/>
          <w:color w:val="000000"/>
        </w:rPr>
      </w:pPr>
      <w:r>
        <w:rPr>
          <w:rFonts w:eastAsia="Times New Roman"/>
          <w:color w:val="000000"/>
        </w:rPr>
        <w:t>The following main use is permitted with additional restrictions:</w:t>
      </w:r>
    </w:p>
    <w:p w14:paraId="6009EFB9" w14:textId="77777777" w:rsidR="00872006" w:rsidRDefault="002D72B0">
      <w:pPr>
        <w:tabs>
          <w:tab w:val="left" w:pos="2160"/>
        </w:tabs>
        <w:spacing w:before="256" w:line="254" w:lineRule="exact"/>
        <w:ind w:left="2232" w:right="72" w:hanging="720"/>
        <w:jc w:val="both"/>
        <w:textAlignment w:val="baseline"/>
        <w:rPr>
          <w:rFonts w:eastAsia="Times New Roman"/>
          <w:color w:val="000000"/>
        </w:rPr>
      </w:pPr>
      <w:r>
        <w:rPr>
          <w:rFonts w:eastAsia="Times New Roman"/>
          <w:color w:val="000000"/>
        </w:rPr>
        <w:t>--</w:t>
      </w:r>
      <w:r>
        <w:rPr>
          <w:rFonts w:eastAsia="Times New Roman"/>
          <w:color w:val="000000"/>
        </w:rPr>
        <w:tab/>
        <w:t xml:space="preserve">Personal service uses. </w:t>
      </w:r>
      <w:r>
        <w:rPr>
          <w:rFonts w:eastAsia="Times New Roman"/>
          <w:i/>
          <w:color w:val="000000"/>
        </w:rPr>
        <w:t>[Massage establishments and tattoo or body piercing studios are prohibited.]</w:t>
      </w:r>
    </w:p>
    <w:p w14:paraId="783E8836" w14:textId="77777777" w:rsidR="00872006" w:rsidRDefault="002D72B0">
      <w:pPr>
        <w:numPr>
          <w:ilvl w:val="0"/>
          <w:numId w:val="2"/>
        </w:numPr>
        <w:tabs>
          <w:tab w:val="clear" w:pos="720"/>
          <w:tab w:val="left" w:pos="1512"/>
        </w:tabs>
        <w:spacing w:before="255" w:line="248" w:lineRule="exact"/>
        <w:ind w:left="72" w:firstLine="720"/>
        <w:textAlignment w:val="baseline"/>
        <w:rPr>
          <w:rFonts w:eastAsia="Times New Roman"/>
          <w:color w:val="000000"/>
        </w:rPr>
      </w:pPr>
      <w:r>
        <w:rPr>
          <w:rFonts w:eastAsia="Times New Roman"/>
          <w:color w:val="000000"/>
        </w:rPr>
        <w:t>The following uses are prohibited:</w:t>
      </w:r>
    </w:p>
    <w:p w14:paraId="11FC7110" w14:textId="77777777" w:rsidR="00872006" w:rsidRDefault="002D72B0">
      <w:pPr>
        <w:tabs>
          <w:tab w:val="left" w:pos="2160"/>
        </w:tabs>
        <w:spacing w:before="256" w:line="248" w:lineRule="exact"/>
        <w:ind w:left="1512"/>
        <w:textAlignment w:val="baseline"/>
        <w:rPr>
          <w:rFonts w:eastAsia="Times New Roman"/>
          <w:color w:val="000000"/>
        </w:rPr>
      </w:pPr>
      <w:r>
        <w:rPr>
          <w:rFonts w:eastAsia="Times New Roman"/>
          <w:color w:val="000000"/>
        </w:rPr>
        <w:t>--</w:t>
      </w:r>
      <w:r>
        <w:rPr>
          <w:rFonts w:eastAsia="Times New Roman"/>
          <w:color w:val="000000"/>
        </w:rPr>
        <w:tab/>
        <w:t>Commercial amusement (inside).</w:t>
      </w:r>
    </w:p>
    <w:p w14:paraId="1C8A2697" w14:textId="77777777" w:rsidR="00872006" w:rsidRDefault="002D72B0">
      <w:pPr>
        <w:tabs>
          <w:tab w:val="left" w:pos="2160"/>
        </w:tabs>
        <w:spacing w:before="6" w:line="248" w:lineRule="exact"/>
        <w:ind w:left="1512"/>
        <w:textAlignment w:val="baseline"/>
        <w:rPr>
          <w:rFonts w:eastAsia="Times New Roman"/>
          <w:color w:val="000000"/>
          <w:spacing w:val="-2"/>
        </w:rPr>
      </w:pPr>
      <w:r>
        <w:rPr>
          <w:rFonts w:eastAsia="Times New Roman"/>
          <w:color w:val="000000"/>
          <w:spacing w:val="-2"/>
        </w:rPr>
        <w:t>--</w:t>
      </w:r>
      <w:r>
        <w:rPr>
          <w:rFonts w:eastAsia="Times New Roman"/>
          <w:color w:val="000000"/>
          <w:spacing w:val="-2"/>
        </w:rPr>
        <w:tab/>
        <w:t>Hotel or motel.</w:t>
      </w:r>
    </w:p>
    <w:p w14:paraId="7AF73609" w14:textId="77777777" w:rsidR="00872006" w:rsidRDefault="002D72B0">
      <w:pPr>
        <w:tabs>
          <w:tab w:val="left" w:pos="2160"/>
        </w:tabs>
        <w:spacing w:before="7" w:line="248" w:lineRule="exact"/>
        <w:ind w:left="1512"/>
        <w:textAlignment w:val="baseline"/>
        <w:rPr>
          <w:rFonts w:eastAsia="Times New Roman"/>
          <w:color w:val="000000"/>
          <w:spacing w:val="-2"/>
        </w:rPr>
      </w:pPr>
      <w:r>
        <w:rPr>
          <w:rFonts w:eastAsia="Times New Roman"/>
          <w:color w:val="000000"/>
          <w:spacing w:val="-2"/>
        </w:rPr>
        <w:t>--</w:t>
      </w:r>
      <w:r>
        <w:rPr>
          <w:rFonts w:eastAsia="Times New Roman"/>
          <w:color w:val="000000"/>
          <w:spacing w:val="-2"/>
        </w:rPr>
        <w:tab/>
        <w:t>Liquor store.</w:t>
      </w:r>
    </w:p>
    <w:p w14:paraId="78E0E689" w14:textId="77777777" w:rsidR="00872006" w:rsidRDefault="002D72B0">
      <w:pPr>
        <w:tabs>
          <w:tab w:val="left" w:pos="2160"/>
        </w:tabs>
        <w:spacing w:before="6" w:line="248" w:lineRule="exact"/>
        <w:ind w:left="1512"/>
        <w:textAlignment w:val="baseline"/>
        <w:rPr>
          <w:rFonts w:eastAsia="Times New Roman"/>
          <w:color w:val="000000"/>
          <w:spacing w:val="-2"/>
        </w:rPr>
      </w:pPr>
      <w:r>
        <w:rPr>
          <w:rFonts w:eastAsia="Times New Roman"/>
          <w:color w:val="000000"/>
          <w:spacing w:val="-2"/>
        </w:rPr>
        <w:t>--</w:t>
      </w:r>
      <w:r>
        <w:rPr>
          <w:rFonts w:eastAsia="Times New Roman"/>
          <w:color w:val="000000"/>
          <w:spacing w:val="-2"/>
        </w:rPr>
        <w:tab/>
        <w:t>Pawn shop.</w:t>
      </w:r>
    </w:p>
    <w:p w14:paraId="66F90BEE" w14:textId="77777777" w:rsidR="00872006" w:rsidRDefault="002D72B0">
      <w:pPr>
        <w:tabs>
          <w:tab w:val="left" w:pos="2160"/>
        </w:tabs>
        <w:spacing w:line="252" w:lineRule="exact"/>
        <w:ind w:left="72" w:firstLine="1440"/>
        <w:textAlignment w:val="baseline"/>
        <w:rPr>
          <w:rFonts w:eastAsia="Times New Roman"/>
          <w:color w:val="000000"/>
        </w:rPr>
      </w:pPr>
      <w:r>
        <w:rPr>
          <w:rFonts w:eastAsia="Times New Roman"/>
          <w:color w:val="000000"/>
        </w:rPr>
        <w:t>--</w:t>
      </w:r>
      <w:r>
        <w:rPr>
          <w:rFonts w:eastAsia="Times New Roman"/>
          <w:color w:val="000000"/>
        </w:rPr>
        <w:tab/>
        <w:t xml:space="preserve">Restaurant with drive-in or drive-through service. </w:t>
      </w:r>
      <w:r>
        <w:rPr>
          <w:rFonts w:eastAsia="Times New Roman"/>
          <w:color w:val="000000"/>
        </w:rPr>
        <w:br/>
        <w:t>(Ord. Nos. 14645; 25423; 25884; 28905)</w:t>
      </w:r>
    </w:p>
    <w:p w14:paraId="7B4B9488" w14:textId="77777777" w:rsidR="00872006" w:rsidRDefault="002D72B0">
      <w:pPr>
        <w:tabs>
          <w:tab w:val="left" w:pos="2880"/>
        </w:tabs>
        <w:spacing w:before="515" w:line="244" w:lineRule="exact"/>
        <w:ind w:left="72"/>
        <w:textAlignment w:val="baseline"/>
        <w:rPr>
          <w:rFonts w:eastAsia="Times New Roman"/>
          <w:b/>
          <w:color w:val="000000"/>
        </w:rPr>
      </w:pPr>
      <w:r>
        <w:rPr>
          <w:rFonts w:eastAsia="Times New Roman"/>
          <w:b/>
          <w:color w:val="000000"/>
        </w:rPr>
        <w:t>SEC. 51P-70.106.</w:t>
      </w:r>
      <w:r>
        <w:rPr>
          <w:rFonts w:eastAsia="Times New Roman"/>
          <w:b/>
          <w:color w:val="000000"/>
        </w:rPr>
        <w:tab/>
        <w:t>ACCESSORY USES.</w:t>
      </w:r>
    </w:p>
    <w:p w14:paraId="1D8E14E7" w14:textId="77777777" w:rsidR="00872006" w:rsidRDefault="002D72B0">
      <w:pPr>
        <w:spacing w:before="251" w:line="254" w:lineRule="exact"/>
        <w:ind w:left="72" w:right="72" w:firstLine="720"/>
        <w:jc w:val="both"/>
        <w:textAlignment w:val="baseline"/>
        <w:rPr>
          <w:rFonts w:eastAsia="Times New Roman"/>
          <w:color w:val="000000"/>
        </w:rPr>
      </w:pPr>
      <w:proofErr w:type="gramStart"/>
      <w:r>
        <w:rPr>
          <w:rFonts w:eastAsia="Times New Roman"/>
          <w:color w:val="000000"/>
        </w:rPr>
        <w:t>As a general rule</w:t>
      </w:r>
      <w:proofErr w:type="gramEnd"/>
      <w:r>
        <w:rPr>
          <w:rFonts w:eastAsia="Times New Roman"/>
          <w:color w:val="000000"/>
        </w:rPr>
        <w:t>, an accessory use is permitted in any district in which the main use is permitted. Some specific accessory uses, however, due to their unique nature, are subject to additional regulations in Section 51A-4.217. For more information regarding accessory uses, consult Section 51A-4.217. (Ord. 28905)</w:t>
      </w:r>
    </w:p>
    <w:p w14:paraId="6EC4A02E" w14:textId="77777777" w:rsidR="00872006" w:rsidRDefault="002D72B0">
      <w:pPr>
        <w:tabs>
          <w:tab w:val="left" w:pos="2880"/>
        </w:tabs>
        <w:spacing w:before="515" w:line="244" w:lineRule="exact"/>
        <w:ind w:left="72"/>
        <w:textAlignment w:val="baseline"/>
        <w:rPr>
          <w:rFonts w:eastAsia="Times New Roman"/>
          <w:b/>
          <w:color w:val="000000"/>
        </w:rPr>
      </w:pPr>
      <w:r>
        <w:rPr>
          <w:rFonts w:eastAsia="Times New Roman"/>
          <w:b/>
          <w:color w:val="000000"/>
        </w:rPr>
        <w:t>SEC. 51P-70.107.</w:t>
      </w:r>
      <w:r>
        <w:rPr>
          <w:rFonts w:eastAsia="Times New Roman"/>
          <w:b/>
          <w:color w:val="000000"/>
        </w:rPr>
        <w:tab/>
        <w:t>YARD, LOT, AND SPACE REGULATIONS.</w:t>
      </w:r>
    </w:p>
    <w:p w14:paraId="084202BE" w14:textId="77777777" w:rsidR="00872006" w:rsidRDefault="002D72B0">
      <w:pPr>
        <w:tabs>
          <w:tab w:val="left" w:pos="1512"/>
        </w:tabs>
        <w:spacing w:before="248" w:line="255" w:lineRule="exact"/>
        <w:ind w:left="72" w:right="72" w:firstLine="720"/>
        <w:jc w:val="both"/>
        <w:textAlignment w:val="baseline"/>
        <w:rPr>
          <w:rFonts w:eastAsia="Times New Roman"/>
          <w:color w:val="000000"/>
        </w:rPr>
      </w:pPr>
      <w:r>
        <w:rPr>
          <w:rFonts w:eastAsia="Times New Roman"/>
          <w:color w:val="000000"/>
        </w:rPr>
        <w:t>(a)</w:t>
      </w:r>
      <w:r>
        <w:rPr>
          <w:rFonts w:eastAsia="Times New Roman"/>
          <w:color w:val="000000"/>
        </w:rPr>
        <w:tab/>
      </w:r>
      <w:r>
        <w:rPr>
          <w:rFonts w:eastAsia="Times New Roman"/>
          <w:color w:val="000000"/>
          <w:u w:val="single"/>
        </w:rPr>
        <w:t xml:space="preserve">In </w:t>
      </w:r>
      <w:proofErr w:type="gramStart"/>
      <w:r>
        <w:rPr>
          <w:rFonts w:eastAsia="Times New Roman"/>
          <w:color w:val="000000"/>
          <w:u w:val="single"/>
        </w:rPr>
        <w:t>general</w:t>
      </w:r>
      <w:proofErr w:type="gramEnd"/>
      <w:r>
        <w:rPr>
          <w:rFonts w:eastAsia="Times New Roman"/>
          <w:color w:val="000000"/>
          <w:u w:val="single"/>
        </w:rPr>
        <w:t>.</w:t>
      </w:r>
      <w:r>
        <w:rPr>
          <w:rFonts w:eastAsia="Times New Roman"/>
          <w:color w:val="000000"/>
        </w:rPr>
        <w:t xml:space="preserve"> Except as provided in this section, the yard, lot, and space regulations for the CR Community Retail District apply.</w:t>
      </w:r>
    </w:p>
    <w:p w14:paraId="676FFA94" w14:textId="77777777" w:rsidR="00872006" w:rsidRDefault="002D72B0">
      <w:pPr>
        <w:tabs>
          <w:tab w:val="left" w:pos="1512"/>
        </w:tabs>
        <w:spacing w:before="256" w:line="249" w:lineRule="exact"/>
        <w:ind w:left="792"/>
        <w:textAlignment w:val="baseline"/>
        <w:rPr>
          <w:rFonts w:eastAsia="Times New Roman"/>
          <w:color w:val="000000"/>
        </w:rPr>
      </w:pPr>
      <w:r>
        <w:rPr>
          <w:rFonts w:eastAsia="Times New Roman"/>
          <w:color w:val="000000"/>
        </w:rPr>
        <w:t>(b)</w:t>
      </w:r>
      <w:r>
        <w:rPr>
          <w:rFonts w:eastAsia="Times New Roman"/>
          <w:color w:val="000000"/>
        </w:rPr>
        <w:tab/>
      </w:r>
      <w:r>
        <w:rPr>
          <w:rFonts w:eastAsia="Times New Roman"/>
          <w:color w:val="000000"/>
          <w:u w:val="single"/>
        </w:rPr>
        <w:t>Setbacks.</w:t>
      </w:r>
      <w:r>
        <w:rPr>
          <w:rFonts w:eastAsia="Times New Roman"/>
          <w:color w:val="000000"/>
        </w:rPr>
        <w:t xml:space="preserve"> Minimum setbacks are:</w:t>
      </w:r>
    </w:p>
    <w:p w14:paraId="4DECEB83" w14:textId="77777777" w:rsidR="00872006" w:rsidRPr="009A22D4" w:rsidRDefault="002D72B0" w:rsidP="009A22D4">
      <w:pPr>
        <w:pStyle w:val="ListParagraph"/>
        <w:numPr>
          <w:ilvl w:val="0"/>
          <w:numId w:val="5"/>
        </w:numPr>
        <w:tabs>
          <w:tab w:val="left" w:pos="2340"/>
        </w:tabs>
        <w:spacing w:before="259" w:line="248" w:lineRule="exact"/>
        <w:ind w:left="1800"/>
        <w:textAlignment w:val="baseline"/>
        <w:rPr>
          <w:rFonts w:eastAsia="Times New Roman"/>
          <w:color w:val="000000"/>
        </w:rPr>
      </w:pPr>
      <w:r w:rsidRPr="009A22D4">
        <w:rPr>
          <w:rFonts w:eastAsia="Times New Roman"/>
          <w:color w:val="000000"/>
        </w:rPr>
        <w:t>100 feet along Northwest Highway; and</w:t>
      </w:r>
    </w:p>
    <w:p w14:paraId="1513E213" w14:textId="0FBCF485" w:rsidR="00872006" w:rsidRPr="00E64ADA" w:rsidRDefault="002D72B0" w:rsidP="009A22D4">
      <w:pPr>
        <w:numPr>
          <w:ilvl w:val="0"/>
          <w:numId w:val="5"/>
        </w:numPr>
        <w:tabs>
          <w:tab w:val="left" w:pos="2340"/>
        </w:tabs>
        <w:spacing w:before="256" w:line="248" w:lineRule="exact"/>
        <w:ind w:left="1800"/>
        <w:textAlignment w:val="baseline"/>
        <w:rPr>
          <w:rFonts w:eastAsia="Times New Roman"/>
          <w:b/>
          <w:color w:val="000000"/>
          <w:u w:val="single"/>
        </w:rPr>
      </w:pPr>
      <w:r>
        <w:rPr>
          <w:rFonts w:eastAsia="Times New Roman"/>
          <w:color w:val="000000"/>
        </w:rPr>
        <w:t xml:space="preserve">72 feet along Midway Road and the </w:t>
      </w:r>
      <w:r w:rsidRPr="00C00AEC">
        <w:rPr>
          <w:rFonts w:eastAsia="Times New Roman"/>
          <w:color w:val="000000"/>
        </w:rPr>
        <w:t>north and</w:t>
      </w:r>
      <w:r>
        <w:rPr>
          <w:rFonts w:eastAsia="Times New Roman"/>
          <w:color w:val="000000"/>
        </w:rPr>
        <w:t xml:space="preserve"> east Property lines.</w:t>
      </w:r>
      <w:r w:rsidR="00E64ADA">
        <w:rPr>
          <w:rFonts w:eastAsia="Times New Roman"/>
          <w:color w:val="000000"/>
        </w:rPr>
        <w:t xml:space="preserve">  </w:t>
      </w:r>
      <w:bookmarkStart w:id="0" w:name="_GoBack"/>
      <w:r w:rsidR="007F53DA" w:rsidRPr="007F53DA">
        <w:rPr>
          <w:rFonts w:eastAsia="Times New Roman"/>
          <w:b/>
          <w:color w:val="000000"/>
          <w:highlight w:val="yellow"/>
          <w:u w:val="single"/>
        </w:rPr>
        <w:t>Mechanical e</w:t>
      </w:r>
      <w:r w:rsidR="00C00AEC" w:rsidRPr="007F53DA">
        <w:rPr>
          <w:rFonts w:eastAsia="Times New Roman"/>
          <w:b/>
          <w:color w:val="000000"/>
          <w:highlight w:val="yellow"/>
          <w:u w:val="single"/>
        </w:rPr>
        <w:t xml:space="preserve">quipment and </w:t>
      </w:r>
      <w:r w:rsidR="007F53DA" w:rsidRPr="007F53DA">
        <w:rPr>
          <w:rFonts w:eastAsia="Times New Roman"/>
          <w:b/>
          <w:color w:val="000000"/>
          <w:highlight w:val="yellow"/>
          <w:u w:val="single"/>
        </w:rPr>
        <w:t>accessibility ramps</w:t>
      </w:r>
      <w:r w:rsidR="003E346E">
        <w:rPr>
          <w:rFonts w:eastAsia="Times New Roman"/>
          <w:b/>
          <w:color w:val="000000"/>
          <w:highlight w:val="yellow"/>
          <w:u w:val="single"/>
        </w:rPr>
        <w:t xml:space="preserve">, handrails, and </w:t>
      </w:r>
      <w:r w:rsidR="007F53DA" w:rsidRPr="007F53DA">
        <w:rPr>
          <w:rFonts w:eastAsia="Times New Roman"/>
          <w:b/>
          <w:color w:val="000000"/>
          <w:highlight w:val="yellow"/>
          <w:u w:val="single"/>
        </w:rPr>
        <w:t>stairs</w:t>
      </w:r>
      <w:r w:rsidR="00C00AEC" w:rsidRPr="007F53DA">
        <w:rPr>
          <w:rFonts w:eastAsia="Times New Roman"/>
          <w:b/>
          <w:color w:val="000000"/>
          <w:highlight w:val="yellow"/>
          <w:u w:val="single"/>
        </w:rPr>
        <w:t xml:space="preserve"> are allowed in the setback from the north Property line.</w:t>
      </w:r>
      <w:bookmarkEnd w:id="0"/>
    </w:p>
    <w:p w14:paraId="36D4B271" w14:textId="77777777" w:rsidR="00872006" w:rsidRDefault="002D72B0">
      <w:pPr>
        <w:tabs>
          <w:tab w:val="left" w:pos="1512"/>
        </w:tabs>
        <w:spacing w:before="256" w:line="249" w:lineRule="exact"/>
        <w:ind w:left="792"/>
        <w:textAlignment w:val="baseline"/>
        <w:rPr>
          <w:rFonts w:eastAsia="Times New Roman"/>
          <w:color w:val="000000"/>
          <w:spacing w:val="-1"/>
        </w:rPr>
      </w:pPr>
      <w:r>
        <w:rPr>
          <w:rFonts w:eastAsia="Times New Roman"/>
          <w:color w:val="000000"/>
          <w:spacing w:val="-1"/>
        </w:rPr>
        <w:t>(c)</w:t>
      </w:r>
      <w:r>
        <w:rPr>
          <w:rFonts w:eastAsia="Times New Roman"/>
          <w:color w:val="000000"/>
          <w:spacing w:val="-1"/>
        </w:rPr>
        <w:tab/>
      </w:r>
      <w:r>
        <w:rPr>
          <w:rFonts w:eastAsia="Times New Roman"/>
          <w:color w:val="000000"/>
          <w:spacing w:val="-1"/>
          <w:u w:val="single"/>
        </w:rPr>
        <w:t>Height.</w:t>
      </w:r>
      <w:r>
        <w:rPr>
          <w:rFonts w:eastAsia="Times New Roman"/>
          <w:color w:val="000000"/>
          <w:spacing w:val="-1"/>
        </w:rPr>
        <w:t xml:space="preserve"> </w:t>
      </w:r>
    </w:p>
    <w:p w14:paraId="18CE7417" w14:textId="77777777" w:rsidR="00872006" w:rsidRDefault="002D72B0">
      <w:pPr>
        <w:tabs>
          <w:tab w:val="left" w:pos="2160"/>
        </w:tabs>
        <w:spacing w:before="260" w:line="248" w:lineRule="exact"/>
        <w:ind w:left="1512"/>
        <w:textAlignment w:val="baseline"/>
        <w:rPr>
          <w:rFonts w:eastAsia="Times New Roman"/>
          <w:color w:val="000000"/>
        </w:rPr>
      </w:pPr>
      <w:r>
        <w:rPr>
          <w:rFonts w:eastAsia="Times New Roman"/>
          <w:color w:val="000000"/>
        </w:rPr>
        <w:t>(1)</w:t>
      </w:r>
      <w:r>
        <w:rPr>
          <w:rFonts w:eastAsia="Times New Roman"/>
          <w:color w:val="000000"/>
        </w:rPr>
        <w:tab/>
        <w:t>Except as provided in this subsection, maximum structure height is 36 feet.</w:t>
      </w:r>
    </w:p>
    <w:p w14:paraId="099C3FCE" w14:textId="4A487E4E" w:rsidR="007F53DA" w:rsidRDefault="002D72B0" w:rsidP="007F53DA">
      <w:pPr>
        <w:numPr>
          <w:ilvl w:val="0"/>
          <w:numId w:val="3"/>
        </w:numPr>
        <w:tabs>
          <w:tab w:val="clear" w:pos="720"/>
          <w:tab w:val="left" w:pos="2304"/>
        </w:tabs>
        <w:spacing w:before="6" w:line="252" w:lineRule="exact"/>
        <w:ind w:left="144" w:firstLine="1440"/>
        <w:jc w:val="both"/>
        <w:textAlignment w:val="baseline"/>
        <w:rPr>
          <w:rFonts w:eastAsia="Times New Roman"/>
          <w:color w:val="000000"/>
        </w:rPr>
      </w:pPr>
      <w:r>
        <w:rPr>
          <w:rFonts w:eastAsia="Times New Roman"/>
          <w:color w:val="000000"/>
        </w:rPr>
        <w:lastRenderedPageBreak/>
        <w:t xml:space="preserve">Mechanical equipment, screening, cooling towers, tanks, skylights, and ornamental cupolas and domes may project an additional 12 feet above the maximum </w:t>
      </w:r>
      <w:proofErr w:type="gramStart"/>
      <w:r>
        <w:rPr>
          <w:rFonts w:eastAsia="Times New Roman"/>
          <w:color w:val="000000"/>
        </w:rPr>
        <w:t>36 foot</w:t>
      </w:r>
      <w:proofErr w:type="gramEnd"/>
      <w:r>
        <w:rPr>
          <w:rFonts w:eastAsia="Times New Roman"/>
          <w:color w:val="000000"/>
        </w:rPr>
        <w:t xml:space="preserve"> structure height and may not exceed 33 1/3 percent of the roof area.</w:t>
      </w:r>
    </w:p>
    <w:p w14:paraId="5A224037" w14:textId="77777777" w:rsidR="007F53DA" w:rsidRDefault="007F53DA" w:rsidP="007F53DA">
      <w:pPr>
        <w:tabs>
          <w:tab w:val="left" w:pos="720"/>
          <w:tab w:val="left" w:pos="2304"/>
        </w:tabs>
        <w:spacing w:before="6" w:line="252" w:lineRule="exact"/>
        <w:ind w:left="1584"/>
        <w:jc w:val="both"/>
        <w:textAlignment w:val="baseline"/>
        <w:rPr>
          <w:rFonts w:eastAsia="Times New Roman"/>
          <w:color w:val="000000"/>
        </w:rPr>
      </w:pPr>
    </w:p>
    <w:p w14:paraId="32A89D4C" w14:textId="6DFC7833" w:rsidR="00872006" w:rsidRPr="007F53DA" w:rsidRDefault="002D72B0" w:rsidP="007F53DA">
      <w:pPr>
        <w:numPr>
          <w:ilvl w:val="0"/>
          <w:numId w:val="3"/>
        </w:numPr>
        <w:tabs>
          <w:tab w:val="clear" w:pos="720"/>
          <w:tab w:val="left" w:pos="2304"/>
        </w:tabs>
        <w:spacing w:before="6" w:line="252" w:lineRule="exact"/>
        <w:ind w:left="144" w:firstLine="1440"/>
        <w:jc w:val="both"/>
        <w:textAlignment w:val="baseline"/>
        <w:rPr>
          <w:rFonts w:eastAsia="Times New Roman"/>
          <w:color w:val="000000"/>
        </w:rPr>
      </w:pPr>
      <w:r w:rsidRPr="007F53DA">
        <w:rPr>
          <w:rFonts w:eastAsia="Times New Roman"/>
          <w:color w:val="000000"/>
        </w:rPr>
        <w:t>A portion of a building may be a maximum of 50 feet in height if the horizontal section of that portion of the building above 36 feet in height is 500 square feet or less. (Ord. Nos. 14645; 25423; 25884; 28905)</w:t>
      </w:r>
    </w:p>
    <w:p w14:paraId="09A74CBF" w14:textId="77777777" w:rsidR="00872006" w:rsidRDefault="002D72B0">
      <w:pPr>
        <w:tabs>
          <w:tab w:val="left" w:pos="2952"/>
        </w:tabs>
        <w:spacing w:before="516" w:line="249" w:lineRule="exact"/>
        <w:ind w:left="144"/>
        <w:textAlignment w:val="baseline"/>
        <w:rPr>
          <w:rFonts w:eastAsia="Times New Roman"/>
          <w:b/>
          <w:color w:val="000000"/>
        </w:rPr>
      </w:pPr>
      <w:r>
        <w:rPr>
          <w:rFonts w:eastAsia="Times New Roman"/>
          <w:b/>
          <w:color w:val="000000"/>
        </w:rPr>
        <w:t>SEC. 51P-70.108.</w:t>
      </w:r>
      <w:r>
        <w:rPr>
          <w:rFonts w:eastAsia="Times New Roman"/>
          <w:b/>
          <w:color w:val="000000"/>
        </w:rPr>
        <w:tab/>
        <w:t>OFF-STREET PARKING AND LOADING.</w:t>
      </w:r>
    </w:p>
    <w:p w14:paraId="7237F095" w14:textId="77777777" w:rsidR="00872006" w:rsidRPr="009A22D4" w:rsidRDefault="002D72B0" w:rsidP="009A22D4">
      <w:pPr>
        <w:pStyle w:val="ListParagraph"/>
        <w:numPr>
          <w:ilvl w:val="0"/>
          <w:numId w:val="6"/>
        </w:numPr>
        <w:tabs>
          <w:tab w:val="left" w:pos="1620"/>
        </w:tabs>
        <w:spacing w:before="244" w:line="254" w:lineRule="exact"/>
        <w:ind w:left="180" w:firstLine="630"/>
        <w:jc w:val="both"/>
        <w:textAlignment w:val="baseline"/>
        <w:rPr>
          <w:rFonts w:eastAsia="Times New Roman"/>
          <w:color w:val="000000"/>
          <w:u w:val="single"/>
        </w:rPr>
      </w:pPr>
      <w:r w:rsidRPr="009A22D4">
        <w:rPr>
          <w:rFonts w:eastAsia="Times New Roman"/>
          <w:color w:val="000000"/>
          <w:u w:val="single"/>
        </w:rPr>
        <w:t xml:space="preserve">In </w:t>
      </w:r>
      <w:proofErr w:type="gramStart"/>
      <w:r w:rsidRPr="009A22D4">
        <w:rPr>
          <w:rFonts w:eastAsia="Times New Roman"/>
          <w:color w:val="000000"/>
          <w:u w:val="single"/>
        </w:rPr>
        <w:t>general</w:t>
      </w:r>
      <w:proofErr w:type="gramEnd"/>
      <w:r w:rsidRPr="009A22D4">
        <w:rPr>
          <w:rFonts w:eastAsia="Times New Roman"/>
          <w:color w:val="000000"/>
          <w:u w:val="single"/>
        </w:rPr>
        <w:t>.</w:t>
      </w:r>
      <w:r w:rsidRPr="009A22D4">
        <w:rPr>
          <w:rFonts w:eastAsia="Times New Roman"/>
          <w:color w:val="000000"/>
        </w:rPr>
        <w:t xml:space="preserve"> Except as provided in this section, consult the use regulations in Division 51A-4.200 for the specific off-street parking and loading requirements for each use.</w:t>
      </w:r>
    </w:p>
    <w:p w14:paraId="61F39E7E" w14:textId="77777777" w:rsidR="007F53DA" w:rsidRDefault="007F53DA" w:rsidP="007F53DA">
      <w:pPr>
        <w:pStyle w:val="ListParagraph"/>
        <w:tabs>
          <w:tab w:val="left" w:pos="1584"/>
        </w:tabs>
        <w:spacing w:before="261" w:line="249" w:lineRule="exact"/>
        <w:ind w:left="1170"/>
        <w:jc w:val="both"/>
        <w:textAlignment w:val="baseline"/>
        <w:rPr>
          <w:rFonts w:eastAsia="Times New Roman"/>
          <w:color w:val="000000"/>
          <w:spacing w:val="-1"/>
          <w:u w:val="single"/>
        </w:rPr>
      </w:pPr>
    </w:p>
    <w:p w14:paraId="671582FB" w14:textId="6F065B90" w:rsidR="00872006" w:rsidRPr="009A22D4" w:rsidRDefault="002D72B0" w:rsidP="009A22D4">
      <w:pPr>
        <w:pStyle w:val="ListParagraph"/>
        <w:numPr>
          <w:ilvl w:val="0"/>
          <w:numId w:val="6"/>
        </w:numPr>
        <w:tabs>
          <w:tab w:val="left" w:pos="1584"/>
        </w:tabs>
        <w:spacing w:before="261" w:line="249" w:lineRule="exact"/>
        <w:jc w:val="both"/>
        <w:textAlignment w:val="baseline"/>
        <w:rPr>
          <w:rFonts w:eastAsia="Times New Roman"/>
          <w:color w:val="000000"/>
          <w:spacing w:val="-1"/>
          <w:u w:val="single"/>
        </w:rPr>
      </w:pPr>
      <w:r w:rsidRPr="009A22D4">
        <w:rPr>
          <w:rFonts w:eastAsia="Times New Roman"/>
          <w:color w:val="000000"/>
          <w:spacing w:val="-1"/>
          <w:u w:val="single"/>
        </w:rPr>
        <w:t>Mixed use development parking reduction.</w:t>
      </w:r>
    </w:p>
    <w:p w14:paraId="3F4EC4F4" w14:textId="77777777" w:rsidR="00872006" w:rsidRDefault="002D72B0">
      <w:pPr>
        <w:tabs>
          <w:tab w:val="left" w:pos="2304"/>
        </w:tabs>
        <w:spacing w:before="249" w:line="254" w:lineRule="exact"/>
        <w:ind w:left="144" w:firstLine="1368"/>
        <w:jc w:val="both"/>
        <w:textAlignment w:val="baseline"/>
        <w:rPr>
          <w:rFonts w:eastAsia="Times New Roman"/>
          <w:color w:val="000000"/>
        </w:rPr>
      </w:pPr>
      <w:r>
        <w:rPr>
          <w:rFonts w:eastAsia="Times New Roman"/>
          <w:color w:val="000000"/>
        </w:rPr>
        <w:t>(1)</w:t>
      </w:r>
      <w:r>
        <w:rPr>
          <w:rFonts w:eastAsia="Times New Roman"/>
          <w:color w:val="000000"/>
        </w:rPr>
        <w:tab/>
        <w:t xml:space="preserve">For purposes of this section, a </w:t>
      </w:r>
      <w:proofErr w:type="gramStart"/>
      <w:r>
        <w:rPr>
          <w:rFonts w:eastAsia="Times New Roman"/>
          <w:color w:val="000000"/>
        </w:rPr>
        <w:t>mixed use</w:t>
      </w:r>
      <w:proofErr w:type="gramEnd"/>
      <w:r>
        <w:rPr>
          <w:rFonts w:eastAsia="Times New Roman"/>
          <w:color w:val="000000"/>
        </w:rPr>
        <w:t xml:space="preserve"> development means retail, office, and bar and restaurant uses in combination on a single or adjacent building site.</w:t>
      </w:r>
    </w:p>
    <w:p w14:paraId="4BE6A273" w14:textId="77777777" w:rsidR="00872006" w:rsidRDefault="002D72B0">
      <w:pPr>
        <w:tabs>
          <w:tab w:val="left" w:pos="2304"/>
        </w:tabs>
        <w:spacing w:before="249" w:line="255" w:lineRule="exact"/>
        <w:ind w:left="144" w:firstLine="1368"/>
        <w:jc w:val="both"/>
        <w:textAlignment w:val="baseline"/>
        <w:rPr>
          <w:rFonts w:eastAsia="Times New Roman"/>
          <w:color w:val="000000"/>
        </w:rPr>
      </w:pPr>
      <w:r>
        <w:rPr>
          <w:rFonts w:eastAsia="Times New Roman"/>
          <w:color w:val="000000"/>
        </w:rPr>
        <w:t>(2)</w:t>
      </w:r>
      <w:r>
        <w:rPr>
          <w:rFonts w:eastAsia="Times New Roman"/>
          <w:color w:val="000000"/>
        </w:rPr>
        <w:tab/>
        <w:t xml:space="preserve">An adjusted standard off-street parking requirement for a </w:t>
      </w:r>
      <w:proofErr w:type="gramStart"/>
      <w:r>
        <w:rPr>
          <w:rFonts w:eastAsia="Times New Roman"/>
          <w:color w:val="000000"/>
        </w:rPr>
        <w:t>mixed use</w:t>
      </w:r>
      <w:proofErr w:type="gramEnd"/>
      <w:r>
        <w:rPr>
          <w:rFonts w:eastAsia="Times New Roman"/>
          <w:color w:val="000000"/>
        </w:rPr>
        <w:t xml:space="preserve"> development is calculated as follows:</w:t>
      </w:r>
    </w:p>
    <w:p w14:paraId="69F2FF80" w14:textId="77777777" w:rsidR="00872006" w:rsidRDefault="002D72B0">
      <w:pPr>
        <w:numPr>
          <w:ilvl w:val="0"/>
          <w:numId w:val="4"/>
        </w:numPr>
        <w:tabs>
          <w:tab w:val="clear" w:pos="720"/>
          <w:tab w:val="left" w:pos="3024"/>
        </w:tabs>
        <w:spacing w:before="250" w:line="254" w:lineRule="exact"/>
        <w:ind w:left="144" w:firstLine="2160"/>
        <w:jc w:val="both"/>
        <w:textAlignment w:val="baseline"/>
        <w:rPr>
          <w:rFonts w:eastAsia="Times New Roman"/>
          <w:color w:val="000000"/>
        </w:rPr>
      </w:pPr>
      <w:r>
        <w:rPr>
          <w:rFonts w:eastAsia="Times New Roman"/>
          <w:color w:val="000000"/>
        </w:rPr>
        <w:t xml:space="preserve">The standard parking requirements for each use in the </w:t>
      </w:r>
      <w:proofErr w:type="gramStart"/>
      <w:r>
        <w:rPr>
          <w:rFonts w:eastAsia="Times New Roman"/>
          <w:color w:val="000000"/>
        </w:rPr>
        <w:t>mixed use</w:t>
      </w:r>
      <w:proofErr w:type="gramEnd"/>
      <w:r>
        <w:rPr>
          <w:rFonts w:eastAsia="Times New Roman"/>
          <w:color w:val="000000"/>
        </w:rPr>
        <w:t xml:space="preserve"> development must be ascertained.</w:t>
      </w:r>
    </w:p>
    <w:p w14:paraId="2A40B6A8" w14:textId="77777777" w:rsidR="00872006" w:rsidRDefault="002D72B0">
      <w:pPr>
        <w:numPr>
          <w:ilvl w:val="0"/>
          <w:numId w:val="4"/>
        </w:numPr>
        <w:tabs>
          <w:tab w:val="clear" w:pos="720"/>
          <w:tab w:val="left" w:pos="3024"/>
        </w:tabs>
        <w:spacing w:before="252" w:line="253" w:lineRule="exact"/>
        <w:ind w:left="144" w:firstLine="2160"/>
        <w:jc w:val="both"/>
        <w:textAlignment w:val="baseline"/>
        <w:rPr>
          <w:rFonts w:eastAsia="Times New Roman"/>
          <w:color w:val="000000"/>
        </w:rPr>
      </w:pPr>
      <w:r>
        <w:rPr>
          <w:rFonts w:eastAsia="Times New Roman"/>
          <w:color w:val="000000"/>
        </w:rPr>
        <w:t xml:space="preserve">The parking demand for each use is determined for each of the five times of day shown in the </w:t>
      </w:r>
      <w:proofErr w:type="gramStart"/>
      <w:r>
        <w:rPr>
          <w:rFonts w:eastAsia="Times New Roman"/>
          <w:color w:val="000000"/>
        </w:rPr>
        <w:t>mixed use</w:t>
      </w:r>
      <w:proofErr w:type="gramEnd"/>
      <w:r>
        <w:rPr>
          <w:rFonts w:eastAsia="Times New Roman"/>
          <w:color w:val="000000"/>
        </w:rPr>
        <w:t xml:space="preserve"> development parking chart by multiplying the standard off-street parking requirement for each use by the percentage in the chart assigned to the category of use. If a use in the development does not fall within one of the categories shown in the shared parking chart, the percentage assigned to that use is 100 percent for all five times of day.</w:t>
      </w:r>
    </w:p>
    <w:p w14:paraId="0FAC06C1" w14:textId="77777777" w:rsidR="00872006" w:rsidRDefault="002D72B0">
      <w:pPr>
        <w:numPr>
          <w:ilvl w:val="0"/>
          <w:numId w:val="4"/>
        </w:numPr>
        <w:tabs>
          <w:tab w:val="clear" w:pos="720"/>
          <w:tab w:val="left" w:pos="3024"/>
        </w:tabs>
        <w:spacing w:before="257" w:line="252" w:lineRule="exact"/>
        <w:ind w:left="144" w:firstLine="2160"/>
        <w:jc w:val="both"/>
        <w:textAlignment w:val="baseline"/>
        <w:rPr>
          <w:rFonts w:eastAsia="Times New Roman"/>
          <w:color w:val="000000"/>
        </w:rPr>
      </w:pPr>
      <w:r>
        <w:rPr>
          <w:rFonts w:eastAsia="Times New Roman"/>
          <w:color w:val="000000"/>
        </w:rPr>
        <w:t>Th</w:t>
      </w:r>
      <w:r w:rsidR="00D31289">
        <w:rPr>
          <w:rFonts w:eastAsia="Times New Roman"/>
          <w:color w:val="000000"/>
        </w:rPr>
        <w:t>e time of day columns are total</w:t>
      </w:r>
      <w:r>
        <w:rPr>
          <w:rFonts w:eastAsia="Times New Roman"/>
          <w:color w:val="000000"/>
        </w:rPr>
        <w:t>ed to produce sums that represent the aggregate parking demand for the development at each time of day. The largest of these five sums is the adjusted standard off-street parking requirement for the development.</w:t>
      </w:r>
    </w:p>
    <w:p w14:paraId="558BC4AC" w14:textId="77777777" w:rsidR="00872006" w:rsidRDefault="002D72B0">
      <w:pPr>
        <w:spacing w:before="261" w:line="249" w:lineRule="exact"/>
        <w:ind w:left="144"/>
        <w:textAlignment w:val="baseline"/>
        <w:rPr>
          <w:rFonts w:eastAsia="Times New Roman"/>
          <w:b/>
          <w:color w:val="000000"/>
        </w:rPr>
      </w:pPr>
      <w:r>
        <w:rPr>
          <w:rFonts w:eastAsia="Times New Roman"/>
          <w:b/>
          <w:color w:val="000000"/>
        </w:rPr>
        <w:t>Table 1: Mixed Use Development Parking Chart</w:t>
      </w:r>
    </w:p>
    <w:p w14:paraId="6E04DAEA" w14:textId="77777777" w:rsidR="00872006" w:rsidRDefault="002D72B0">
      <w:pPr>
        <w:spacing w:before="5" w:line="240" w:lineRule="exact"/>
        <w:ind w:left="144"/>
        <w:textAlignment w:val="baseline"/>
        <w:rPr>
          <w:rFonts w:eastAsia="Times New Roman"/>
          <w:b/>
          <w:color w:val="000000"/>
        </w:rPr>
      </w:pPr>
      <w:r>
        <w:rPr>
          <w:rFonts w:eastAsia="Times New Roman"/>
          <w:b/>
          <w:color w:val="000000"/>
        </w:rPr>
        <w:t>For calculating the parking requirements for mixed use development parkin</w:t>
      </w:r>
    </w:p>
    <w:tbl>
      <w:tblPr>
        <w:tblW w:w="0" w:type="auto"/>
        <w:tblInd w:w="14" w:type="dxa"/>
        <w:tblLayout w:type="fixed"/>
        <w:tblCellMar>
          <w:left w:w="0" w:type="dxa"/>
          <w:right w:w="0" w:type="dxa"/>
        </w:tblCellMar>
        <w:tblLook w:val="04A0" w:firstRow="1" w:lastRow="0" w:firstColumn="1" w:lastColumn="0" w:noHBand="0" w:noVBand="1"/>
      </w:tblPr>
      <w:tblGrid>
        <w:gridCol w:w="2189"/>
        <w:gridCol w:w="1421"/>
        <w:gridCol w:w="1440"/>
        <w:gridCol w:w="1531"/>
        <w:gridCol w:w="1349"/>
        <w:gridCol w:w="1541"/>
      </w:tblGrid>
      <w:tr w:rsidR="00872006" w14:paraId="662DD324" w14:textId="77777777">
        <w:trPr>
          <w:trHeight w:hRule="exact" w:val="533"/>
        </w:trPr>
        <w:tc>
          <w:tcPr>
            <w:tcW w:w="2189" w:type="dxa"/>
            <w:tcBorders>
              <w:top w:val="single" w:sz="9" w:space="0" w:color="000000"/>
              <w:left w:val="single" w:sz="9" w:space="0" w:color="000000"/>
              <w:bottom w:val="single" w:sz="9" w:space="0" w:color="000000"/>
              <w:right w:val="single" w:sz="9" w:space="0" w:color="000000"/>
            </w:tcBorders>
          </w:tcPr>
          <w:p w14:paraId="4B4F3A71" w14:textId="77777777" w:rsidR="00872006" w:rsidRDefault="002D72B0">
            <w:pPr>
              <w:spacing w:before="34" w:after="249" w:line="249" w:lineRule="exact"/>
              <w:ind w:left="120"/>
              <w:textAlignment w:val="baseline"/>
              <w:rPr>
                <w:rFonts w:eastAsia="Times New Roman"/>
                <w:b/>
                <w:color w:val="000000"/>
              </w:rPr>
            </w:pPr>
            <w:r>
              <w:rPr>
                <w:rFonts w:eastAsia="Times New Roman"/>
                <w:b/>
                <w:color w:val="000000"/>
              </w:rPr>
              <w:t>Use Category</w:t>
            </w:r>
          </w:p>
        </w:tc>
        <w:tc>
          <w:tcPr>
            <w:tcW w:w="1421" w:type="dxa"/>
            <w:tcBorders>
              <w:top w:val="single" w:sz="9" w:space="0" w:color="000000"/>
              <w:left w:val="single" w:sz="9" w:space="0" w:color="000000"/>
              <w:bottom w:val="single" w:sz="9" w:space="0" w:color="000000"/>
              <w:right w:val="single" w:sz="9" w:space="0" w:color="000000"/>
            </w:tcBorders>
          </w:tcPr>
          <w:p w14:paraId="3981EF92" w14:textId="77777777" w:rsidR="00872006" w:rsidRDefault="002D72B0">
            <w:pPr>
              <w:spacing w:before="34" w:after="249" w:line="249" w:lineRule="exact"/>
              <w:ind w:left="110"/>
              <w:textAlignment w:val="baseline"/>
              <w:rPr>
                <w:rFonts w:eastAsia="Times New Roman"/>
                <w:b/>
                <w:color w:val="000000"/>
              </w:rPr>
            </w:pPr>
            <w:r>
              <w:rPr>
                <w:rFonts w:eastAsia="Times New Roman"/>
                <w:b/>
                <w:color w:val="000000"/>
              </w:rPr>
              <w:t>Morning</w:t>
            </w:r>
          </w:p>
        </w:tc>
        <w:tc>
          <w:tcPr>
            <w:tcW w:w="1440" w:type="dxa"/>
            <w:tcBorders>
              <w:top w:val="single" w:sz="9" w:space="0" w:color="000000"/>
              <w:left w:val="single" w:sz="9" w:space="0" w:color="000000"/>
              <w:bottom w:val="single" w:sz="9" w:space="0" w:color="000000"/>
              <w:right w:val="single" w:sz="9" w:space="0" w:color="000000"/>
            </w:tcBorders>
          </w:tcPr>
          <w:p w14:paraId="48D08ACE" w14:textId="77777777" w:rsidR="00872006" w:rsidRDefault="002D72B0">
            <w:pPr>
              <w:spacing w:before="34" w:after="249" w:line="249" w:lineRule="exact"/>
              <w:ind w:right="821"/>
              <w:jc w:val="right"/>
              <w:textAlignment w:val="baseline"/>
              <w:rPr>
                <w:rFonts w:eastAsia="Times New Roman"/>
                <w:b/>
                <w:color w:val="000000"/>
              </w:rPr>
            </w:pPr>
            <w:r>
              <w:rPr>
                <w:rFonts w:eastAsia="Times New Roman"/>
                <w:b/>
                <w:color w:val="000000"/>
              </w:rPr>
              <w:t>Noon</w:t>
            </w:r>
          </w:p>
        </w:tc>
        <w:tc>
          <w:tcPr>
            <w:tcW w:w="1531" w:type="dxa"/>
            <w:tcBorders>
              <w:top w:val="single" w:sz="9" w:space="0" w:color="000000"/>
              <w:left w:val="single" w:sz="9" w:space="0" w:color="000000"/>
              <w:bottom w:val="single" w:sz="9" w:space="0" w:color="000000"/>
              <w:right w:val="single" w:sz="9" w:space="0" w:color="000000"/>
            </w:tcBorders>
          </w:tcPr>
          <w:p w14:paraId="0369E7B7" w14:textId="77777777" w:rsidR="00872006" w:rsidRDefault="002D72B0">
            <w:pPr>
              <w:spacing w:before="34" w:after="249" w:line="249" w:lineRule="exact"/>
              <w:ind w:left="110"/>
              <w:textAlignment w:val="baseline"/>
              <w:rPr>
                <w:rFonts w:eastAsia="Times New Roman"/>
                <w:b/>
                <w:color w:val="000000"/>
              </w:rPr>
            </w:pPr>
            <w:r>
              <w:rPr>
                <w:rFonts w:eastAsia="Times New Roman"/>
                <w:b/>
                <w:color w:val="000000"/>
              </w:rPr>
              <w:t>Afternoon</w:t>
            </w:r>
          </w:p>
        </w:tc>
        <w:tc>
          <w:tcPr>
            <w:tcW w:w="1349" w:type="dxa"/>
            <w:tcBorders>
              <w:top w:val="single" w:sz="9" w:space="0" w:color="000000"/>
              <w:left w:val="single" w:sz="9" w:space="0" w:color="000000"/>
              <w:bottom w:val="single" w:sz="9" w:space="0" w:color="000000"/>
              <w:right w:val="single" w:sz="9" w:space="0" w:color="000000"/>
            </w:tcBorders>
          </w:tcPr>
          <w:p w14:paraId="10EB1A05" w14:textId="77777777" w:rsidR="00872006" w:rsidRDefault="002D72B0">
            <w:pPr>
              <w:spacing w:before="34" w:line="249" w:lineRule="exact"/>
              <w:ind w:left="144"/>
              <w:textAlignment w:val="baseline"/>
              <w:rPr>
                <w:rFonts w:eastAsia="Times New Roman"/>
                <w:b/>
                <w:color w:val="000000"/>
              </w:rPr>
            </w:pPr>
            <w:r>
              <w:rPr>
                <w:rFonts w:eastAsia="Times New Roman"/>
                <w:b/>
                <w:color w:val="000000"/>
              </w:rPr>
              <w:t>Late</w:t>
            </w:r>
          </w:p>
          <w:p w14:paraId="2651F0AF" w14:textId="77777777" w:rsidR="00872006" w:rsidRDefault="002D72B0">
            <w:pPr>
              <w:spacing w:before="5" w:line="244" w:lineRule="exact"/>
              <w:ind w:left="144"/>
              <w:textAlignment w:val="baseline"/>
              <w:rPr>
                <w:rFonts w:eastAsia="Times New Roman"/>
                <w:b/>
                <w:color w:val="000000"/>
              </w:rPr>
            </w:pPr>
            <w:r>
              <w:rPr>
                <w:rFonts w:eastAsia="Times New Roman"/>
                <w:b/>
                <w:color w:val="000000"/>
              </w:rPr>
              <w:t>Afternoon</w:t>
            </w:r>
          </w:p>
        </w:tc>
        <w:tc>
          <w:tcPr>
            <w:tcW w:w="1541" w:type="dxa"/>
            <w:tcBorders>
              <w:top w:val="single" w:sz="9" w:space="0" w:color="000000"/>
              <w:left w:val="single" w:sz="9" w:space="0" w:color="000000"/>
              <w:bottom w:val="single" w:sz="9" w:space="0" w:color="000000"/>
              <w:right w:val="single" w:sz="9" w:space="0" w:color="000000"/>
            </w:tcBorders>
          </w:tcPr>
          <w:p w14:paraId="308B2C43" w14:textId="77777777" w:rsidR="00872006" w:rsidRDefault="002D72B0">
            <w:pPr>
              <w:spacing w:before="34" w:after="249" w:line="249" w:lineRule="exact"/>
              <w:ind w:left="110"/>
              <w:textAlignment w:val="baseline"/>
              <w:rPr>
                <w:rFonts w:eastAsia="Times New Roman"/>
                <w:b/>
                <w:color w:val="000000"/>
              </w:rPr>
            </w:pPr>
            <w:r>
              <w:rPr>
                <w:rFonts w:eastAsia="Times New Roman"/>
                <w:b/>
                <w:color w:val="000000"/>
              </w:rPr>
              <w:t>Evening</w:t>
            </w:r>
          </w:p>
        </w:tc>
      </w:tr>
      <w:tr w:rsidR="00872006" w14:paraId="543A3AA2" w14:textId="77777777">
        <w:trPr>
          <w:trHeight w:hRule="exact" w:val="273"/>
        </w:trPr>
        <w:tc>
          <w:tcPr>
            <w:tcW w:w="2189" w:type="dxa"/>
            <w:tcBorders>
              <w:top w:val="single" w:sz="9" w:space="0" w:color="000000"/>
              <w:left w:val="single" w:sz="9" w:space="0" w:color="000000"/>
              <w:bottom w:val="single" w:sz="9" w:space="0" w:color="000000"/>
              <w:right w:val="single" w:sz="9" w:space="0" w:color="000000"/>
            </w:tcBorders>
            <w:vAlign w:val="center"/>
          </w:tcPr>
          <w:p w14:paraId="0709ECE4" w14:textId="77777777" w:rsidR="00872006" w:rsidRDefault="002D72B0">
            <w:pPr>
              <w:spacing w:line="235" w:lineRule="exact"/>
              <w:ind w:left="120"/>
              <w:textAlignment w:val="baseline"/>
              <w:rPr>
                <w:rFonts w:eastAsia="Times New Roman"/>
                <w:color w:val="000000"/>
              </w:rPr>
            </w:pPr>
            <w:r>
              <w:rPr>
                <w:rFonts w:eastAsia="Times New Roman"/>
                <w:color w:val="000000"/>
              </w:rPr>
              <w:t>Office related uses</w:t>
            </w:r>
          </w:p>
        </w:tc>
        <w:tc>
          <w:tcPr>
            <w:tcW w:w="1421" w:type="dxa"/>
            <w:tcBorders>
              <w:top w:val="single" w:sz="9" w:space="0" w:color="000000"/>
              <w:left w:val="single" w:sz="9" w:space="0" w:color="000000"/>
              <w:bottom w:val="single" w:sz="9" w:space="0" w:color="000000"/>
              <w:right w:val="single" w:sz="9" w:space="0" w:color="000000"/>
            </w:tcBorders>
            <w:vAlign w:val="center"/>
          </w:tcPr>
          <w:p w14:paraId="22D18E05" w14:textId="77777777" w:rsidR="00872006" w:rsidRDefault="002D72B0">
            <w:pPr>
              <w:spacing w:line="235" w:lineRule="exact"/>
              <w:ind w:left="110"/>
              <w:textAlignment w:val="baseline"/>
              <w:rPr>
                <w:rFonts w:eastAsia="Times New Roman"/>
                <w:color w:val="000000"/>
              </w:rPr>
            </w:pPr>
            <w:r>
              <w:rPr>
                <w:rFonts w:eastAsia="Times New Roman"/>
                <w:color w:val="000000"/>
              </w:rPr>
              <w:t>100%</w:t>
            </w:r>
          </w:p>
        </w:tc>
        <w:tc>
          <w:tcPr>
            <w:tcW w:w="1440" w:type="dxa"/>
            <w:tcBorders>
              <w:top w:val="single" w:sz="9" w:space="0" w:color="000000"/>
              <w:left w:val="single" w:sz="9" w:space="0" w:color="000000"/>
              <w:bottom w:val="single" w:sz="9" w:space="0" w:color="000000"/>
              <w:right w:val="single" w:sz="9" w:space="0" w:color="000000"/>
            </w:tcBorders>
            <w:vAlign w:val="center"/>
          </w:tcPr>
          <w:p w14:paraId="5C420937" w14:textId="77777777" w:rsidR="00872006" w:rsidRDefault="002D72B0">
            <w:pPr>
              <w:spacing w:line="235" w:lineRule="exact"/>
              <w:ind w:right="821"/>
              <w:jc w:val="right"/>
              <w:textAlignment w:val="baseline"/>
              <w:rPr>
                <w:rFonts w:eastAsia="Times New Roman"/>
                <w:color w:val="000000"/>
              </w:rPr>
            </w:pPr>
            <w:r>
              <w:rPr>
                <w:rFonts w:eastAsia="Times New Roman"/>
                <w:color w:val="000000"/>
              </w:rPr>
              <w:t>80%</w:t>
            </w:r>
          </w:p>
        </w:tc>
        <w:tc>
          <w:tcPr>
            <w:tcW w:w="1531" w:type="dxa"/>
            <w:tcBorders>
              <w:top w:val="single" w:sz="9" w:space="0" w:color="000000"/>
              <w:left w:val="single" w:sz="9" w:space="0" w:color="000000"/>
              <w:bottom w:val="single" w:sz="9" w:space="0" w:color="000000"/>
              <w:right w:val="single" w:sz="9" w:space="0" w:color="000000"/>
            </w:tcBorders>
            <w:vAlign w:val="center"/>
          </w:tcPr>
          <w:p w14:paraId="6C68740B" w14:textId="77777777" w:rsidR="00872006" w:rsidRDefault="002D72B0">
            <w:pPr>
              <w:spacing w:line="235" w:lineRule="exact"/>
              <w:ind w:left="110"/>
              <w:textAlignment w:val="baseline"/>
              <w:rPr>
                <w:rFonts w:eastAsia="Times New Roman"/>
                <w:color w:val="000000"/>
              </w:rPr>
            </w:pPr>
            <w:r>
              <w:rPr>
                <w:rFonts w:eastAsia="Times New Roman"/>
                <w:color w:val="000000"/>
              </w:rPr>
              <w:t>100%</w:t>
            </w:r>
          </w:p>
        </w:tc>
        <w:tc>
          <w:tcPr>
            <w:tcW w:w="1349" w:type="dxa"/>
            <w:tcBorders>
              <w:top w:val="single" w:sz="9" w:space="0" w:color="000000"/>
              <w:left w:val="single" w:sz="9" w:space="0" w:color="000000"/>
              <w:bottom w:val="single" w:sz="9" w:space="0" w:color="000000"/>
              <w:right w:val="single" w:sz="9" w:space="0" w:color="000000"/>
            </w:tcBorders>
            <w:vAlign w:val="center"/>
          </w:tcPr>
          <w:p w14:paraId="7E38CDDE" w14:textId="77777777" w:rsidR="00872006" w:rsidRDefault="002D72B0">
            <w:pPr>
              <w:spacing w:line="235" w:lineRule="exact"/>
              <w:ind w:left="110"/>
              <w:textAlignment w:val="baseline"/>
              <w:rPr>
                <w:rFonts w:eastAsia="Times New Roman"/>
                <w:color w:val="000000"/>
              </w:rPr>
            </w:pPr>
            <w:r>
              <w:rPr>
                <w:rFonts w:eastAsia="Times New Roman"/>
                <w:color w:val="000000"/>
              </w:rPr>
              <w:t>85%</w:t>
            </w:r>
          </w:p>
        </w:tc>
        <w:tc>
          <w:tcPr>
            <w:tcW w:w="1541" w:type="dxa"/>
            <w:tcBorders>
              <w:top w:val="single" w:sz="9" w:space="0" w:color="000000"/>
              <w:left w:val="single" w:sz="9" w:space="0" w:color="000000"/>
              <w:bottom w:val="single" w:sz="9" w:space="0" w:color="000000"/>
              <w:right w:val="single" w:sz="9" w:space="0" w:color="000000"/>
            </w:tcBorders>
            <w:vAlign w:val="center"/>
          </w:tcPr>
          <w:p w14:paraId="643EB1DC" w14:textId="77777777" w:rsidR="00872006" w:rsidRDefault="002D72B0">
            <w:pPr>
              <w:spacing w:line="235" w:lineRule="exact"/>
              <w:ind w:left="110"/>
              <w:textAlignment w:val="baseline"/>
              <w:rPr>
                <w:rFonts w:eastAsia="Times New Roman"/>
                <w:color w:val="000000"/>
              </w:rPr>
            </w:pPr>
            <w:r>
              <w:rPr>
                <w:rFonts w:eastAsia="Times New Roman"/>
                <w:color w:val="000000"/>
              </w:rPr>
              <w:t>35%</w:t>
            </w:r>
          </w:p>
        </w:tc>
      </w:tr>
      <w:tr w:rsidR="00872006" w14:paraId="265591DB" w14:textId="77777777">
        <w:trPr>
          <w:trHeight w:hRule="exact" w:val="528"/>
        </w:trPr>
        <w:tc>
          <w:tcPr>
            <w:tcW w:w="2189" w:type="dxa"/>
            <w:tcBorders>
              <w:top w:val="single" w:sz="9" w:space="0" w:color="000000"/>
              <w:left w:val="single" w:sz="9" w:space="0" w:color="000000"/>
              <w:bottom w:val="single" w:sz="9" w:space="0" w:color="000000"/>
              <w:right w:val="single" w:sz="9" w:space="0" w:color="000000"/>
            </w:tcBorders>
          </w:tcPr>
          <w:p w14:paraId="58E84067" w14:textId="77777777" w:rsidR="00872006" w:rsidRDefault="002D72B0">
            <w:pPr>
              <w:tabs>
                <w:tab w:val="right" w:pos="2088"/>
              </w:tabs>
              <w:spacing w:line="248" w:lineRule="exact"/>
              <w:ind w:left="144"/>
              <w:textAlignment w:val="baseline"/>
              <w:rPr>
                <w:rFonts w:eastAsia="Times New Roman"/>
                <w:color w:val="000000"/>
              </w:rPr>
            </w:pPr>
            <w:r>
              <w:rPr>
                <w:rFonts w:eastAsia="Times New Roman"/>
                <w:color w:val="000000"/>
              </w:rPr>
              <w:t>Retail</w:t>
            </w:r>
            <w:r>
              <w:rPr>
                <w:rFonts w:eastAsia="Times New Roman"/>
                <w:color w:val="000000"/>
              </w:rPr>
              <w:tab/>
              <w:t>and personal</w:t>
            </w:r>
          </w:p>
          <w:p w14:paraId="60FB8A4E" w14:textId="77777777" w:rsidR="00872006" w:rsidRDefault="002D72B0">
            <w:pPr>
              <w:spacing w:before="6" w:line="244" w:lineRule="exact"/>
              <w:ind w:left="144"/>
              <w:textAlignment w:val="baseline"/>
              <w:rPr>
                <w:rFonts w:eastAsia="Times New Roman"/>
                <w:color w:val="000000"/>
              </w:rPr>
            </w:pPr>
            <w:r>
              <w:rPr>
                <w:rFonts w:eastAsia="Times New Roman"/>
                <w:color w:val="000000"/>
              </w:rPr>
              <w:t>service related uses</w:t>
            </w:r>
          </w:p>
        </w:tc>
        <w:tc>
          <w:tcPr>
            <w:tcW w:w="1421" w:type="dxa"/>
            <w:tcBorders>
              <w:top w:val="single" w:sz="9" w:space="0" w:color="000000"/>
              <w:left w:val="single" w:sz="9" w:space="0" w:color="000000"/>
              <w:bottom w:val="single" w:sz="9" w:space="0" w:color="000000"/>
              <w:right w:val="single" w:sz="9" w:space="0" w:color="000000"/>
            </w:tcBorders>
            <w:vAlign w:val="bottom"/>
          </w:tcPr>
          <w:p w14:paraId="2CF5B8D7" w14:textId="77777777" w:rsidR="00872006" w:rsidRDefault="002D72B0">
            <w:pPr>
              <w:spacing w:before="274" w:line="244" w:lineRule="exact"/>
              <w:ind w:left="110"/>
              <w:textAlignment w:val="baseline"/>
              <w:rPr>
                <w:rFonts w:eastAsia="Times New Roman"/>
                <w:color w:val="000000"/>
              </w:rPr>
            </w:pPr>
            <w:r>
              <w:rPr>
                <w:rFonts w:eastAsia="Times New Roman"/>
                <w:color w:val="000000"/>
              </w:rPr>
              <w:t>60%</w:t>
            </w:r>
          </w:p>
        </w:tc>
        <w:tc>
          <w:tcPr>
            <w:tcW w:w="1440" w:type="dxa"/>
            <w:tcBorders>
              <w:top w:val="single" w:sz="9" w:space="0" w:color="000000"/>
              <w:left w:val="single" w:sz="9" w:space="0" w:color="000000"/>
              <w:bottom w:val="single" w:sz="9" w:space="0" w:color="000000"/>
              <w:right w:val="single" w:sz="9" w:space="0" w:color="000000"/>
            </w:tcBorders>
            <w:vAlign w:val="bottom"/>
          </w:tcPr>
          <w:p w14:paraId="69C0D629" w14:textId="77777777" w:rsidR="00872006" w:rsidRDefault="002D72B0">
            <w:pPr>
              <w:spacing w:before="274" w:line="244" w:lineRule="exact"/>
              <w:ind w:right="821"/>
              <w:jc w:val="right"/>
              <w:textAlignment w:val="baseline"/>
              <w:rPr>
                <w:rFonts w:eastAsia="Times New Roman"/>
                <w:color w:val="000000"/>
              </w:rPr>
            </w:pPr>
            <w:r>
              <w:rPr>
                <w:rFonts w:eastAsia="Times New Roman"/>
                <w:color w:val="000000"/>
              </w:rPr>
              <w:t>75%</w:t>
            </w:r>
          </w:p>
        </w:tc>
        <w:tc>
          <w:tcPr>
            <w:tcW w:w="1531" w:type="dxa"/>
            <w:tcBorders>
              <w:top w:val="single" w:sz="9" w:space="0" w:color="000000"/>
              <w:left w:val="single" w:sz="9" w:space="0" w:color="000000"/>
              <w:bottom w:val="single" w:sz="9" w:space="0" w:color="000000"/>
              <w:right w:val="single" w:sz="9" w:space="0" w:color="000000"/>
            </w:tcBorders>
            <w:vAlign w:val="bottom"/>
          </w:tcPr>
          <w:p w14:paraId="25E4DCBB" w14:textId="77777777" w:rsidR="00872006" w:rsidRDefault="002D72B0">
            <w:pPr>
              <w:spacing w:before="274" w:line="244" w:lineRule="exact"/>
              <w:ind w:left="110"/>
              <w:textAlignment w:val="baseline"/>
              <w:rPr>
                <w:rFonts w:eastAsia="Times New Roman"/>
                <w:color w:val="000000"/>
              </w:rPr>
            </w:pPr>
            <w:r>
              <w:rPr>
                <w:rFonts w:eastAsia="Times New Roman"/>
                <w:color w:val="000000"/>
              </w:rPr>
              <w:t>70%</w:t>
            </w:r>
          </w:p>
        </w:tc>
        <w:tc>
          <w:tcPr>
            <w:tcW w:w="1349" w:type="dxa"/>
            <w:tcBorders>
              <w:top w:val="single" w:sz="9" w:space="0" w:color="000000"/>
              <w:left w:val="single" w:sz="9" w:space="0" w:color="000000"/>
              <w:bottom w:val="single" w:sz="9" w:space="0" w:color="000000"/>
              <w:right w:val="single" w:sz="9" w:space="0" w:color="000000"/>
            </w:tcBorders>
            <w:vAlign w:val="bottom"/>
          </w:tcPr>
          <w:p w14:paraId="57F4B2BF" w14:textId="77777777" w:rsidR="00872006" w:rsidRDefault="002D72B0">
            <w:pPr>
              <w:spacing w:before="274" w:line="244" w:lineRule="exact"/>
              <w:ind w:left="110"/>
              <w:textAlignment w:val="baseline"/>
              <w:rPr>
                <w:rFonts w:eastAsia="Times New Roman"/>
                <w:color w:val="000000"/>
              </w:rPr>
            </w:pPr>
            <w:r>
              <w:rPr>
                <w:rFonts w:eastAsia="Times New Roman"/>
                <w:color w:val="000000"/>
              </w:rPr>
              <w:t>65%</w:t>
            </w:r>
          </w:p>
        </w:tc>
        <w:tc>
          <w:tcPr>
            <w:tcW w:w="1541" w:type="dxa"/>
            <w:tcBorders>
              <w:top w:val="single" w:sz="9" w:space="0" w:color="000000"/>
              <w:left w:val="single" w:sz="9" w:space="0" w:color="000000"/>
              <w:bottom w:val="single" w:sz="9" w:space="0" w:color="000000"/>
              <w:right w:val="single" w:sz="9" w:space="0" w:color="000000"/>
            </w:tcBorders>
            <w:vAlign w:val="bottom"/>
          </w:tcPr>
          <w:p w14:paraId="617A27CB" w14:textId="77777777" w:rsidR="00872006" w:rsidRDefault="002D72B0">
            <w:pPr>
              <w:spacing w:before="274" w:line="244" w:lineRule="exact"/>
              <w:ind w:left="110"/>
              <w:textAlignment w:val="baseline"/>
              <w:rPr>
                <w:rFonts w:eastAsia="Times New Roman"/>
                <w:color w:val="000000"/>
              </w:rPr>
            </w:pPr>
            <w:r>
              <w:rPr>
                <w:rFonts w:eastAsia="Times New Roman"/>
                <w:color w:val="000000"/>
              </w:rPr>
              <w:t>70%</w:t>
            </w:r>
          </w:p>
        </w:tc>
      </w:tr>
      <w:tr w:rsidR="00872006" w14:paraId="3009B0FF" w14:textId="77777777">
        <w:trPr>
          <w:trHeight w:hRule="exact" w:val="524"/>
        </w:trPr>
        <w:tc>
          <w:tcPr>
            <w:tcW w:w="2189" w:type="dxa"/>
            <w:tcBorders>
              <w:top w:val="single" w:sz="9" w:space="0" w:color="000000"/>
              <w:left w:val="single" w:sz="9" w:space="0" w:color="000000"/>
              <w:bottom w:val="single" w:sz="9" w:space="0" w:color="000000"/>
              <w:right w:val="single" w:sz="9" w:space="0" w:color="000000"/>
            </w:tcBorders>
          </w:tcPr>
          <w:p w14:paraId="3BC942BE" w14:textId="77777777" w:rsidR="00872006" w:rsidRDefault="002D72B0">
            <w:pPr>
              <w:tabs>
                <w:tab w:val="left" w:pos="648"/>
                <w:tab w:val="right" w:pos="2088"/>
              </w:tabs>
              <w:spacing w:line="248" w:lineRule="exact"/>
              <w:ind w:left="144"/>
              <w:textAlignment w:val="baseline"/>
              <w:rPr>
                <w:rFonts w:eastAsia="Times New Roman"/>
                <w:color w:val="000000"/>
              </w:rPr>
            </w:pPr>
            <w:r>
              <w:rPr>
                <w:rFonts w:eastAsia="Times New Roman"/>
                <w:color w:val="000000"/>
              </w:rPr>
              <w:t>Bar</w:t>
            </w:r>
            <w:r>
              <w:rPr>
                <w:rFonts w:eastAsia="Times New Roman"/>
                <w:color w:val="000000"/>
              </w:rPr>
              <w:tab/>
              <w:t>and</w:t>
            </w:r>
            <w:r>
              <w:rPr>
                <w:rFonts w:eastAsia="Times New Roman"/>
                <w:color w:val="000000"/>
              </w:rPr>
              <w:tab/>
              <w:t>restaurant</w:t>
            </w:r>
          </w:p>
          <w:p w14:paraId="3312581A" w14:textId="77777777" w:rsidR="00872006" w:rsidRDefault="002D72B0">
            <w:pPr>
              <w:spacing w:before="6" w:after="1" w:line="248" w:lineRule="exact"/>
              <w:ind w:left="144"/>
              <w:textAlignment w:val="baseline"/>
              <w:rPr>
                <w:rFonts w:eastAsia="Times New Roman"/>
                <w:color w:val="000000"/>
              </w:rPr>
            </w:pPr>
            <w:r>
              <w:rPr>
                <w:rFonts w:eastAsia="Times New Roman"/>
                <w:color w:val="000000"/>
              </w:rPr>
              <w:t>uses</w:t>
            </w:r>
          </w:p>
        </w:tc>
        <w:tc>
          <w:tcPr>
            <w:tcW w:w="1421" w:type="dxa"/>
            <w:tcBorders>
              <w:top w:val="single" w:sz="9" w:space="0" w:color="000000"/>
              <w:left w:val="single" w:sz="9" w:space="0" w:color="000000"/>
              <w:bottom w:val="single" w:sz="9" w:space="0" w:color="000000"/>
              <w:right w:val="single" w:sz="9" w:space="0" w:color="000000"/>
            </w:tcBorders>
          </w:tcPr>
          <w:p w14:paraId="61CAB88E" w14:textId="77777777" w:rsidR="00872006" w:rsidRDefault="002D72B0">
            <w:pPr>
              <w:spacing w:after="255" w:line="248" w:lineRule="exact"/>
              <w:ind w:left="110"/>
              <w:textAlignment w:val="baseline"/>
              <w:rPr>
                <w:rFonts w:eastAsia="Times New Roman"/>
                <w:color w:val="000000"/>
              </w:rPr>
            </w:pPr>
            <w:r>
              <w:rPr>
                <w:rFonts w:eastAsia="Times New Roman"/>
                <w:color w:val="000000"/>
              </w:rPr>
              <w:t>20%</w:t>
            </w:r>
          </w:p>
        </w:tc>
        <w:tc>
          <w:tcPr>
            <w:tcW w:w="1440" w:type="dxa"/>
            <w:tcBorders>
              <w:top w:val="single" w:sz="9" w:space="0" w:color="000000"/>
              <w:left w:val="single" w:sz="9" w:space="0" w:color="000000"/>
              <w:bottom w:val="single" w:sz="9" w:space="0" w:color="000000"/>
              <w:right w:val="single" w:sz="9" w:space="0" w:color="000000"/>
            </w:tcBorders>
          </w:tcPr>
          <w:p w14:paraId="39171AFE" w14:textId="77777777" w:rsidR="00872006" w:rsidRDefault="002D72B0">
            <w:pPr>
              <w:spacing w:after="255" w:line="248" w:lineRule="exact"/>
              <w:ind w:right="821"/>
              <w:jc w:val="right"/>
              <w:textAlignment w:val="baseline"/>
              <w:rPr>
                <w:rFonts w:eastAsia="Times New Roman"/>
                <w:color w:val="000000"/>
              </w:rPr>
            </w:pPr>
            <w:r>
              <w:rPr>
                <w:rFonts w:eastAsia="Times New Roman"/>
                <w:color w:val="000000"/>
              </w:rPr>
              <w:t>100%</w:t>
            </w:r>
          </w:p>
        </w:tc>
        <w:tc>
          <w:tcPr>
            <w:tcW w:w="1531" w:type="dxa"/>
            <w:tcBorders>
              <w:top w:val="single" w:sz="9" w:space="0" w:color="000000"/>
              <w:left w:val="single" w:sz="9" w:space="0" w:color="000000"/>
              <w:bottom w:val="single" w:sz="9" w:space="0" w:color="000000"/>
              <w:right w:val="single" w:sz="9" w:space="0" w:color="000000"/>
            </w:tcBorders>
          </w:tcPr>
          <w:p w14:paraId="46736255" w14:textId="77777777" w:rsidR="00872006" w:rsidRDefault="002D72B0">
            <w:pPr>
              <w:spacing w:after="255" w:line="248" w:lineRule="exact"/>
              <w:ind w:left="110"/>
              <w:textAlignment w:val="baseline"/>
              <w:rPr>
                <w:rFonts w:eastAsia="Times New Roman"/>
                <w:color w:val="000000"/>
              </w:rPr>
            </w:pPr>
            <w:r>
              <w:rPr>
                <w:rFonts w:eastAsia="Times New Roman"/>
                <w:color w:val="000000"/>
              </w:rPr>
              <w:t>30%</w:t>
            </w:r>
          </w:p>
        </w:tc>
        <w:tc>
          <w:tcPr>
            <w:tcW w:w="1349" w:type="dxa"/>
            <w:tcBorders>
              <w:top w:val="single" w:sz="9" w:space="0" w:color="000000"/>
              <w:left w:val="single" w:sz="9" w:space="0" w:color="000000"/>
              <w:bottom w:val="single" w:sz="9" w:space="0" w:color="000000"/>
              <w:right w:val="single" w:sz="9" w:space="0" w:color="000000"/>
            </w:tcBorders>
          </w:tcPr>
          <w:p w14:paraId="53902B79" w14:textId="77777777" w:rsidR="00872006" w:rsidRDefault="002D72B0">
            <w:pPr>
              <w:spacing w:after="255" w:line="248" w:lineRule="exact"/>
              <w:ind w:left="110"/>
              <w:textAlignment w:val="baseline"/>
              <w:rPr>
                <w:rFonts w:eastAsia="Times New Roman"/>
                <w:color w:val="000000"/>
              </w:rPr>
            </w:pPr>
            <w:r>
              <w:rPr>
                <w:rFonts w:eastAsia="Times New Roman"/>
                <w:color w:val="000000"/>
              </w:rPr>
              <w:t>30%</w:t>
            </w:r>
          </w:p>
        </w:tc>
        <w:tc>
          <w:tcPr>
            <w:tcW w:w="1541" w:type="dxa"/>
            <w:tcBorders>
              <w:top w:val="single" w:sz="9" w:space="0" w:color="000000"/>
              <w:left w:val="single" w:sz="9" w:space="0" w:color="000000"/>
              <w:bottom w:val="single" w:sz="9" w:space="0" w:color="000000"/>
              <w:right w:val="single" w:sz="9" w:space="0" w:color="000000"/>
            </w:tcBorders>
          </w:tcPr>
          <w:p w14:paraId="5CE09D91" w14:textId="77777777" w:rsidR="00872006" w:rsidRDefault="002D72B0">
            <w:pPr>
              <w:spacing w:after="255" w:line="248" w:lineRule="exact"/>
              <w:ind w:left="110"/>
              <w:textAlignment w:val="baseline"/>
              <w:rPr>
                <w:rFonts w:eastAsia="Times New Roman"/>
                <w:color w:val="000000"/>
              </w:rPr>
            </w:pPr>
            <w:r>
              <w:rPr>
                <w:rFonts w:eastAsia="Times New Roman"/>
                <w:color w:val="000000"/>
              </w:rPr>
              <w:t>100%</w:t>
            </w:r>
          </w:p>
        </w:tc>
      </w:tr>
      <w:tr w:rsidR="00872006" w14:paraId="6AE24CC2" w14:textId="77777777">
        <w:trPr>
          <w:trHeight w:hRule="exact" w:val="283"/>
        </w:trPr>
        <w:tc>
          <w:tcPr>
            <w:tcW w:w="2189" w:type="dxa"/>
            <w:tcBorders>
              <w:top w:val="single" w:sz="9" w:space="0" w:color="000000"/>
              <w:left w:val="single" w:sz="9" w:space="0" w:color="000000"/>
              <w:bottom w:val="single" w:sz="9" w:space="0" w:color="000000"/>
              <w:right w:val="single" w:sz="9" w:space="0" w:color="000000"/>
            </w:tcBorders>
            <w:vAlign w:val="center"/>
          </w:tcPr>
          <w:p w14:paraId="7ED800FF" w14:textId="77777777" w:rsidR="00872006" w:rsidRDefault="002D72B0">
            <w:pPr>
              <w:spacing w:after="1" w:line="248" w:lineRule="exact"/>
              <w:ind w:left="120"/>
              <w:textAlignment w:val="baseline"/>
              <w:rPr>
                <w:rFonts w:eastAsia="Times New Roman"/>
                <w:color w:val="000000"/>
              </w:rPr>
            </w:pPr>
            <w:r>
              <w:rPr>
                <w:rFonts w:eastAsia="Times New Roman"/>
                <w:color w:val="000000"/>
              </w:rPr>
              <w:t>All other uses</w:t>
            </w:r>
          </w:p>
        </w:tc>
        <w:tc>
          <w:tcPr>
            <w:tcW w:w="1421" w:type="dxa"/>
            <w:tcBorders>
              <w:top w:val="single" w:sz="9" w:space="0" w:color="000000"/>
              <w:left w:val="single" w:sz="9" w:space="0" w:color="000000"/>
              <w:bottom w:val="single" w:sz="9" w:space="0" w:color="000000"/>
              <w:right w:val="single" w:sz="9" w:space="0" w:color="000000"/>
            </w:tcBorders>
            <w:vAlign w:val="center"/>
          </w:tcPr>
          <w:p w14:paraId="3FAB3916" w14:textId="77777777" w:rsidR="00872006" w:rsidRDefault="002D72B0">
            <w:pPr>
              <w:spacing w:after="1" w:line="248" w:lineRule="exact"/>
              <w:ind w:left="110"/>
              <w:textAlignment w:val="baseline"/>
              <w:rPr>
                <w:rFonts w:eastAsia="Times New Roman"/>
                <w:color w:val="000000"/>
              </w:rPr>
            </w:pPr>
            <w:r>
              <w:rPr>
                <w:rFonts w:eastAsia="Times New Roman"/>
                <w:color w:val="000000"/>
              </w:rPr>
              <w:t>100%</w:t>
            </w:r>
          </w:p>
        </w:tc>
        <w:tc>
          <w:tcPr>
            <w:tcW w:w="1440" w:type="dxa"/>
            <w:tcBorders>
              <w:top w:val="single" w:sz="9" w:space="0" w:color="000000"/>
              <w:left w:val="single" w:sz="9" w:space="0" w:color="000000"/>
              <w:bottom w:val="single" w:sz="9" w:space="0" w:color="000000"/>
              <w:right w:val="single" w:sz="9" w:space="0" w:color="000000"/>
            </w:tcBorders>
            <w:vAlign w:val="center"/>
          </w:tcPr>
          <w:p w14:paraId="26B9E3F9" w14:textId="77777777" w:rsidR="00872006" w:rsidRDefault="002D72B0">
            <w:pPr>
              <w:spacing w:after="1" w:line="248" w:lineRule="exact"/>
              <w:ind w:right="821"/>
              <w:jc w:val="right"/>
              <w:textAlignment w:val="baseline"/>
              <w:rPr>
                <w:rFonts w:eastAsia="Times New Roman"/>
                <w:color w:val="000000"/>
              </w:rPr>
            </w:pPr>
            <w:r>
              <w:rPr>
                <w:rFonts w:eastAsia="Times New Roman"/>
                <w:color w:val="000000"/>
              </w:rPr>
              <w:t>100%</w:t>
            </w:r>
          </w:p>
        </w:tc>
        <w:tc>
          <w:tcPr>
            <w:tcW w:w="1531" w:type="dxa"/>
            <w:tcBorders>
              <w:top w:val="single" w:sz="9" w:space="0" w:color="000000"/>
              <w:left w:val="single" w:sz="9" w:space="0" w:color="000000"/>
              <w:bottom w:val="single" w:sz="9" w:space="0" w:color="000000"/>
              <w:right w:val="single" w:sz="9" w:space="0" w:color="000000"/>
            </w:tcBorders>
            <w:vAlign w:val="center"/>
          </w:tcPr>
          <w:p w14:paraId="446B9F46" w14:textId="77777777" w:rsidR="00872006" w:rsidRDefault="002D72B0">
            <w:pPr>
              <w:spacing w:after="1" w:line="248" w:lineRule="exact"/>
              <w:ind w:left="110"/>
              <w:textAlignment w:val="baseline"/>
              <w:rPr>
                <w:rFonts w:eastAsia="Times New Roman"/>
                <w:color w:val="000000"/>
              </w:rPr>
            </w:pPr>
            <w:r>
              <w:rPr>
                <w:rFonts w:eastAsia="Times New Roman"/>
                <w:color w:val="000000"/>
              </w:rPr>
              <w:t>100%</w:t>
            </w:r>
          </w:p>
        </w:tc>
        <w:tc>
          <w:tcPr>
            <w:tcW w:w="1349" w:type="dxa"/>
            <w:tcBorders>
              <w:top w:val="single" w:sz="9" w:space="0" w:color="000000"/>
              <w:left w:val="single" w:sz="9" w:space="0" w:color="000000"/>
              <w:bottom w:val="single" w:sz="9" w:space="0" w:color="000000"/>
              <w:right w:val="single" w:sz="9" w:space="0" w:color="000000"/>
            </w:tcBorders>
            <w:vAlign w:val="center"/>
          </w:tcPr>
          <w:p w14:paraId="6FCA15C5" w14:textId="77777777" w:rsidR="00872006" w:rsidRDefault="002D72B0">
            <w:pPr>
              <w:spacing w:after="1" w:line="248" w:lineRule="exact"/>
              <w:ind w:left="110"/>
              <w:textAlignment w:val="baseline"/>
              <w:rPr>
                <w:rFonts w:eastAsia="Times New Roman"/>
                <w:color w:val="000000"/>
              </w:rPr>
            </w:pPr>
            <w:r>
              <w:rPr>
                <w:rFonts w:eastAsia="Times New Roman"/>
                <w:color w:val="000000"/>
              </w:rPr>
              <w:t>100%</w:t>
            </w:r>
          </w:p>
        </w:tc>
        <w:tc>
          <w:tcPr>
            <w:tcW w:w="1541" w:type="dxa"/>
            <w:tcBorders>
              <w:top w:val="single" w:sz="9" w:space="0" w:color="000000"/>
              <w:left w:val="single" w:sz="9" w:space="0" w:color="000000"/>
              <w:bottom w:val="single" w:sz="9" w:space="0" w:color="000000"/>
              <w:right w:val="single" w:sz="9" w:space="0" w:color="000000"/>
            </w:tcBorders>
            <w:vAlign w:val="center"/>
          </w:tcPr>
          <w:p w14:paraId="36B22280" w14:textId="77777777" w:rsidR="00872006" w:rsidRDefault="002D72B0">
            <w:pPr>
              <w:spacing w:after="1" w:line="248" w:lineRule="exact"/>
              <w:ind w:left="110"/>
              <w:textAlignment w:val="baseline"/>
              <w:rPr>
                <w:rFonts w:eastAsia="Times New Roman"/>
                <w:color w:val="000000"/>
              </w:rPr>
            </w:pPr>
            <w:r>
              <w:rPr>
                <w:rFonts w:eastAsia="Times New Roman"/>
                <w:color w:val="000000"/>
              </w:rPr>
              <w:t>100%</w:t>
            </w:r>
          </w:p>
        </w:tc>
      </w:tr>
    </w:tbl>
    <w:p w14:paraId="06A79A87" w14:textId="77777777" w:rsidR="00872006" w:rsidRDefault="00872006">
      <w:pPr>
        <w:spacing w:after="240" w:line="20" w:lineRule="exact"/>
      </w:pPr>
    </w:p>
    <w:p w14:paraId="66DFDDD2" w14:textId="77777777" w:rsidR="00872006" w:rsidRDefault="002D72B0">
      <w:pPr>
        <w:tabs>
          <w:tab w:val="right" w:pos="9504"/>
        </w:tabs>
        <w:spacing w:before="4" w:line="248" w:lineRule="exact"/>
        <w:ind w:left="864"/>
        <w:textAlignment w:val="baseline"/>
        <w:rPr>
          <w:rFonts w:eastAsia="Times New Roman"/>
          <w:color w:val="000000"/>
        </w:rPr>
      </w:pPr>
      <w:r>
        <w:rPr>
          <w:rFonts w:eastAsia="Times New Roman"/>
          <w:color w:val="000000"/>
        </w:rPr>
        <w:t>(3)</w:t>
      </w:r>
      <w:r>
        <w:rPr>
          <w:rFonts w:eastAsia="Times New Roman"/>
          <w:color w:val="000000"/>
        </w:rPr>
        <w:tab/>
        <w:t>A special exception to the number of required parking spaces may not be combined with</w:t>
      </w:r>
    </w:p>
    <w:p w14:paraId="354DA4A5" w14:textId="77777777" w:rsidR="00872006" w:rsidRDefault="002D72B0">
      <w:pPr>
        <w:spacing w:before="6" w:line="248" w:lineRule="exact"/>
        <w:ind w:left="144"/>
        <w:textAlignment w:val="baseline"/>
        <w:rPr>
          <w:rFonts w:eastAsia="Times New Roman"/>
          <w:color w:val="000000"/>
        </w:rPr>
      </w:pPr>
      <w:r>
        <w:rPr>
          <w:rFonts w:eastAsia="Times New Roman"/>
          <w:color w:val="000000"/>
        </w:rPr>
        <w:t xml:space="preserve">a </w:t>
      </w:r>
      <w:proofErr w:type="gramStart"/>
      <w:r>
        <w:rPr>
          <w:rFonts w:eastAsia="Times New Roman"/>
          <w:color w:val="000000"/>
        </w:rPr>
        <w:t>mixed use</w:t>
      </w:r>
      <w:proofErr w:type="gramEnd"/>
      <w:r>
        <w:rPr>
          <w:rFonts w:eastAsia="Times New Roman"/>
          <w:color w:val="000000"/>
        </w:rPr>
        <w:t xml:space="preserve"> development parking reduction. (Ord. Nos. 14645; 25423l 25884; 28905)</w:t>
      </w:r>
    </w:p>
    <w:p w14:paraId="7EB2223B" w14:textId="77777777" w:rsidR="00872006" w:rsidRDefault="00872006">
      <w:pPr>
        <w:sectPr w:rsidR="00872006">
          <w:pgSz w:w="12240" w:h="15840"/>
          <w:pgMar w:top="1440" w:right="1415" w:bottom="1724" w:left="1325" w:header="720" w:footer="720" w:gutter="0"/>
          <w:cols w:space="720"/>
        </w:sectPr>
      </w:pPr>
    </w:p>
    <w:p w14:paraId="12D83EE7" w14:textId="77777777" w:rsidR="00872006" w:rsidRDefault="002D72B0">
      <w:pPr>
        <w:tabs>
          <w:tab w:val="left" w:pos="2880"/>
        </w:tabs>
        <w:spacing w:line="381" w:lineRule="exact"/>
        <w:ind w:left="792" w:right="1296" w:hanging="720"/>
        <w:jc w:val="both"/>
        <w:textAlignment w:val="baseline"/>
        <w:rPr>
          <w:rFonts w:eastAsia="Times New Roman"/>
          <w:b/>
          <w:color w:val="000000"/>
        </w:rPr>
      </w:pPr>
      <w:r>
        <w:rPr>
          <w:rFonts w:eastAsia="Times New Roman"/>
          <w:b/>
          <w:color w:val="000000"/>
        </w:rPr>
        <w:lastRenderedPageBreak/>
        <w:t>SEC. 51P-70.109.</w:t>
      </w:r>
      <w:r>
        <w:rPr>
          <w:rFonts w:eastAsia="Times New Roman"/>
          <w:b/>
          <w:color w:val="000000"/>
        </w:rPr>
        <w:tab/>
        <w:t xml:space="preserve">ENVIRONMENTAL PERFORMANCE STANDARDS. </w:t>
      </w:r>
      <w:r>
        <w:rPr>
          <w:rFonts w:eastAsia="Times New Roman"/>
          <w:color w:val="000000"/>
        </w:rPr>
        <w:t>See Article VI. (Ord. 28905)</w:t>
      </w:r>
    </w:p>
    <w:p w14:paraId="0CF1D500" w14:textId="77777777" w:rsidR="00872006" w:rsidRDefault="002D72B0">
      <w:pPr>
        <w:tabs>
          <w:tab w:val="left" w:pos="2880"/>
        </w:tabs>
        <w:spacing w:before="515" w:line="249" w:lineRule="exact"/>
        <w:ind w:left="72"/>
        <w:jc w:val="both"/>
        <w:textAlignment w:val="baseline"/>
        <w:rPr>
          <w:rFonts w:eastAsia="Times New Roman"/>
          <w:b/>
          <w:color w:val="000000"/>
        </w:rPr>
      </w:pPr>
      <w:r>
        <w:rPr>
          <w:rFonts w:eastAsia="Times New Roman"/>
          <w:b/>
          <w:color w:val="000000"/>
        </w:rPr>
        <w:t>SEC. 51P-70.110.</w:t>
      </w:r>
      <w:r>
        <w:rPr>
          <w:rFonts w:eastAsia="Times New Roman"/>
          <w:b/>
          <w:color w:val="000000"/>
        </w:rPr>
        <w:tab/>
        <w:t>STREET DEDICATIONS.</w:t>
      </w:r>
    </w:p>
    <w:p w14:paraId="34851381" w14:textId="77777777" w:rsidR="00872006" w:rsidRDefault="002D72B0">
      <w:pPr>
        <w:spacing w:before="254" w:line="249" w:lineRule="exact"/>
        <w:ind w:left="72" w:right="72" w:firstLine="720"/>
        <w:jc w:val="both"/>
        <w:textAlignment w:val="baseline"/>
        <w:rPr>
          <w:rFonts w:eastAsia="Times New Roman"/>
          <w:color w:val="000000"/>
        </w:rPr>
      </w:pPr>
      <w:r>
        <w:rPr>
          <w:rFonts w:eastAsia="Times New Roman"/>
          <w:color w:val="000000"/>
        </w:rPr>
        <w:t>At the time of platting, the property necessary to provide for 50 feet of right-of-way from the centerline of Midway Road must be dedicated to the city. (Ord. Nos. 14645; 25423; 25884; 28905)</w:t>
      </w:r>
    </w:p>
    <w:p w14:paraId="7049FFAC" w14:textId="77777777" w:rsidR="00872006" w:rsidRDefault="002D72B0">
      <w:pPr>
        <w:tabs>
          <w:tab w:val="left" w:pos="2880"/>
        </w:tabs>
        <w:spacing w:before="516" w:line="249" w:lineRule="exact"/>
        <w:ind w:left="72"/>
        <w:jc w:val="both"/>
        <w:textAlignment w:val="baseline"/>
        <w:rPr>
          <w:rFonts w:eastAsia="Times New Roman"/>
          <w:b/>
          <w:color w:val="000000"/>
        </w:rPr>
      </w:pPr>
      <w:r>
        <w:rPr>
          <w:rFonts w:eastAsia="Times New Roman"/>
          <w:b/>
          <w:color w:val="000000"/>
        </w:rPr>
        <w:t>SEC. 51P-70.111.</w:t>
      </w:r>
      <w:r>
        <w:rPr>
          <w:rFonts w:eastAsia="Times New Roman"/>
          <w:b/>
          <w:color w:val="000000"/>
        </w:rPr>
        <w:tab/>
        <w:t>LIGHTING.</w:t>
      </w:r>
    </w:p>
    <w:p w14:paraId="61E25215" w14:textId="77777777" w:rsidR="00872006" w:rsidRDefault="002D72B0">
      <w:pPr>
        <w:spacing w:before="249" w:line="254" w:lineRule="exact"/>
        <w:ind w:left="72" w:right="72" w:firstLine="720"/>
        <w:jc w:val="both"/>
        <w:textAlignment w:val="baseline"/>
        <w:rPr>
          <w:rFonts w:eastAsia="Times New Roman"/>
          <w:color w:val="000000"/>
        </w:rPr>
      </w:pPr>
      <w:r>
        <w:rPr>
          <w:rFonts w:eastAsia="Times New Roman"/>
          <w:color w:val="000000"/>
        </w:rPr>
        <w:t>Light poles or standards for parking areas must be covered to deflect light downward and not shine directly onto any adjacent residential properties. (Ord. Nos. 14645; 25423; 25884; 28905)</w:t>
      </w:r>
    </w:p>
    <w:p w14:paraId="4273DF59" w14:textId="77777777" w:rsidR="00872006" w:rsidRDefault="002D72B0">
      <w:pPr>
        <w:tabs>
          <w:tab w:val="left" w:pos="2880"/>
        </w:tabs>
        <w:spacing w:before="515" w:line="249" w:lineRule="exact"/>
        <w:ind w:left="72"/>
        <w:jc w:val="both"/>
        <w:textAlignment w:val="baseline"/>
        <w:rPr>
          <w:rFonts w:eastAsia="Times New Roman"/>
          <w:b/>
          <w:color w:val="000000"/>
        </w:rPr>
      </w:pPr>
      <w:r>
        <w:rPr>
          <w:rFonts w:eastAsia="Times New Roman"/>
          <w:b/>
          <w:color w:val="000000"/>
        </w:rPr>
        <w:t>SEC. 51P-70.112.</w:t>
      </w:r>
      <w:r>
        <w:rPr>
          <w:rFonts w:eastAsia="Times New Roman"/>
          <w:b/>
          <w:color w:val="000000"/>
        </w:rPr>
        <w:tab/>
        <w:t>LANDSCAPING.</w:t>
      </w:r>
    </w:p>
    <w:p w14:paraId="724C2C80" w14:textId="77777777" w:rsidR="00872006" w:rsidRPr="009A22D4" w:rsidRDefault="002D72B0" w:rsidP="009A22D4">
      <w:pPr>
        <w:pStyle w:val="ListParagraph"/>
        <w:numPr>
          <w:ilvl w:val="0"/>
          <w:numId w:val="7"/>
        </w:numPr>
        <w:tabs>
          <w:tab w:val="left" w:pos="720"/>
          <w:tab w:val="left" w:pos="1512"/>
        </w:tabs>
        <w:spacing w:before="243" w:line="255" w:lineRule="exact"/>
        <w:ind w:right="72"/>
        <w:jc w:val="both"/>
        <w:textAlignment w:val="baseline"/>
        <w:rPr>
          <w:rFonts w:eastAsia="Times New Roman"/>
          <w:color w:val="000000"/>
        </w:rPr>
      </w:pPr>
      <w:r w:rsidRPr="009A22D4">
        <w:rPr>
          <w:rFonts w:eastAsia="Times New Roman"/>
          <w:color w:val="000000"/>
        </w:rPr>
        <w:t>Except as provided in this section, landscaping must be provided in accordance with Article X.</w:t>
      </w:r>
    </w:p>
    <w:p w14:paraId="6F541C2A" w14:textId="77777777" w:rsidR="00872006" w:rsidRDefault="002D72B0" w:rsidP="009A22D4">
      <w:pPr>
        <w:numPr>
          <w:ilvl w:val="0"/>
          <w:numId w:val="7"/>
        </w:numPr>
        <w:tabs>
          <w:tab w:val="left" w:pos="1512"/>
        </w:tabs>
        <w:spacing w:before="250" w:line="254" w:lineRule="exact"/>
        <w:ind w:right="72"/>
        <w:jc w:val="both"/>
        <w:textAlignment w:val="baseline"/>
        <w:rPr>
          <w:rFonts w:eastAsia="Times New Roman"/>
          <w:color w:val="000000"/>
        </w:rPr>
      </w:pPr>
      <w:r>
        <w:rPr>
          <w:rFonts w:eastAsia="Times New Roman"/>
          <w:color w:val="000000"/>
        </w:rPr>
        <w:t>A minimum 12-foot-wide landscaped area must be provided along the Northwest Highway frontage.</w:t>
      </w:r>
    </w:p>
    <w:p w14:paraId="08C9663B" w14:textId="77777777" w:rsidR="00872006" w:rsidRDefault="002D72B0" w:rsidP="009A22D4">
      <w:pPr>
        <w:numPr>
          <w:ilvl w:val="0"/>
          <w:numId w:val="7"/>
        </w:numPr>
        <w:tabs>
          <w:tab w:val="left" w:pos="1512"/>
        </w:tabs>
        <w:spacing w:before="249" w:line="255" w:lineRule="exact"/>
        <w:ind w:right="72"/>
        <w:jc w:val="both"/>
        <w:textAlignment w:val="baseline"/>
        <w:rPr>
          <w:rFonts w:eastAsia="Times New Roman"/>
          <w:color w:val="000000"/>
        </w:rPr>
      </w:pPr>
      <w:r>
        <w:rPr>
          <w:rFonts w:eastAsia="Times New Roman"/>
          <w:color w:val="000000"/>
        </w:rPr>
        <w:t>A minimum seven-foot-wide landscaped area must be provided along the Midway Road frontage.</w:t>
      </w:r>
    </w:p>
    <w:p w14:paraId="3163995C" w14:textId="77777777" w:rsidR="00872006" w:rsidRDefault="002D72B0" w:rsidP="009A22D4">
      <w:pPr>
        <w:numPr>
          <w:ilvl w:val="0"/>
          <w:numId w:val="7"/>
        </w:numPr>
        <w:tabs>
          <w:tab w:val="left" w:pos="1512"/>
        </w:tabs>
        <w:spacing w:before="256" w:line="248" w:lineRule="exact"/>
        <w:jc w:val="both"/>
        <w:textAlignment w:val="baseline"/>
        <w:rPr>
          <w:rFonts w:eastAsia="Times New Roman"/>
          <w:color w:val="000000"/>
        </w:rPr>
      </w:pPr>
      <w:r>
        <w:rPr>
          <w:rFonts w:eastAsia="Times New Roman"/>
          <w:color w:val="000000"/>
        </w:rPr>
        <w:t>A sprinkler system must be provided for the landscaped areas.</w:t>
      </w:r>
    </w:p>
    <w:p w14:paraId="54FF338A" w14:textId="77777777" w:rsidR="00872006" w:rsidRDefault="002D72B0" w:rsidP="009A22D4">
      <w:pPr>
        <w:numPr>
          <w:ilvl w:val="0"/>
          <w:numId w:val="7"/>
        </w:numPr>
        <w:tabs>
          <w:tab w:val="left" w:pos="1512"/>
        </w:tabs>
        <w:spacing w:before="253" w:line="255" w:lineRule="exact"/>
        <w:ind w:right="72"/>
        <w:jc w:val="both"/>
        <w:textAlignment w:val="baseline"/>
        <w:rPr>
          <w:rFonts w:eastAsia="Times New Roman"/>
          <w:color w:val="000000"/>
        </w:rPr>
      </w:pPr>
      <w:r>
        <w:rPr>
          <w:rFonts w:eastAsia="Times New Roman"/>
          <w:color w:val="000000"/>
        </w:rPr>
        <w:t>Plant materials must be maintained in a healthy, growing condition. (Ord. Nos. 14645; 25423; 25884; 28905)</w:t>
      </w:r>
    </w:p>
    <w:p w14:paraId="5D691C28" w14:textId="77777777" w:rsidR="00872006" w:rsidRDefault="002D72B0">
      <w:pPr>
        <w:tabs>
          <w:tab w:val="left" w:pos="2880"/>
        </w:tabs>
        <w:spacing w:before="515" w:line="249" w:lineRule="exact"/>
        <w:ind w:left="72"/>
        <w:jc w:val="both"/>
        <w:textAlignment w:val="baseline"/>
        <w:rPr>
          <w:rFonts w:eastAsia="Times New Roman"/>
          <w:b/>
          <w:color w:val="000000"/>
        </w:rPr>
      </w:pPr>
      <w:r>
        <w:rPr>
          <w:rFonts w:eastAsia="Times New Roman"/>
          <w:b/>
          <w:color w:val="000000"/>
        </w:rPr>
        <w:t>SEC. 51P-70.113.</w:t>
      </w:r>
      <w:r>
        <w:rPr>
          <w:rFonts w:eastAsia="Times New Roman"/>
          <w:b/>
          <w:color w:val="000000"/>
        </w:rPr>
        <w:tab/>
        <w:t>SIGNS.</w:t>
      </w:r>
    </w:p>
    <w:p w14:paraId="246A215F" w14:textId="5D02FA24" w:rsidR="000C0D9B" w:rsidRDefault="000C0D9B">
      <w:pPr>
        <w:spacing w:before="243" w:line="255" w:lineRule="exact"/>
        <w:ind w:left="72" w:right="72" w:firstLine="720"/>
        <w:jc w:val="both"/>
        <w:textAlignment w:val="baseline"/>
        <w:rPr>
          <w:rFonts w:eastAsia="Times New Roman"/>
          <w:b/>
          <w:color w:val="000000"/>
          <w:u w:val="single"/>
        </w:rPr>
      </w:pPr>
      <w:r w:rsidRPr="007F53DA">
        <w:rPr>
          <w:rFonts w:eastAsia="Times New Roman"/>
          <w:color w:val="000000"/>
          <w:u w:val="single"/>
        </w:rPr>
        <w:t>(a)</w:t>
      </w:r>
      <w:r>
        <w:rPr>
          <w:rFonts w:eastAsia="Times New Roman"/>
          <w:color w:val="000000"/>
        </w:rPr>
        <w:tab/>
      </w:r>
      <w:r w:rsidR="002D72B0">
        <w:rPr>
          <w:rFonts w:eastAsia="Times New Roman"/>
          <w:color w:val="000000"/>
        </w:rPr>
        <w:t xml:space="preserve">Signs must comply with the provisions for </w:t>
      </w:r>
      <w:r w:rsidR="002D72B0" w:rsidRPr="007F53DA">
        <w:rPr>
          <w:rFonts w:eastAsia="Times New Roman"/>
          <w:b/>
          <w:strike/>
          <w:color w:val="000000"/>
          <w:highlight w:val="yellow"/>
          <w:u w:val="single"/>
        </w:rPr>
        <w:t>non-</w:t>
      </w:r>
      <w:r w:rsidR="002D72B0" w:rsidRPr="007F53DA">
        <w:rPr>
          <w:rFonts w:eastAsia="Times New Roman"/>
          <w:color w:val="000000"/>
          <w:highlight w:val="yellow"/>
        </w:rPr>
        <w:t>business</w:t>
      </w:r>
      <w:r w:rsidR="002D72B0">
        <w:rPr>
          <w:rFonts w:eastAsia="Times New Roman"/>
          <w:color w:val="000000"/>
        </w:rPr>
        <w:t xml:space="preserve"> zoning districts in Article VII. (Ord. Nos. 14645; 25423; 25884; 28905</w:t>
      </w:r>
      <w:r w:rsidR="002D72B0" w:rsidRPr="00B822BB">
        <w:rPr>
          <w:rFonts w:eastAsia="Times New Roman"/>
          <w:b/>
          <w:color w:val="000000"/>
          <w:u w:val="single"/>
        </w:rPr>
        <w:t>)</w:t>
      </w:r>
      <w:r w:rsidR="009A22D4" w:rsidRPr="00B822BB">
        <w:rPr>
          <w:rFonts w:eastAsia="Times New Roman"/>
          <w:b/>
          <w:color w:val="000000"/>
          <w:u w:val="single"/>
        </w:rPr>
        <w:t>.</w:t>
      </w:r>
    </w:p>
    <w:p w14:paraId="168EF023" w14:textId="77777777" w:rsidR="000C0D9B" w:rsidRPr="007F53DA" w:rsidRDefault="000C0D9B">
      <w:pPr>
        <w:spacing w:before="243" w:line="255" w:lineRule="exact"/>
        <w:ind w:left="72" w:right="72" w:firstLine="720"/>
        <w:jc w:val="both"/>
        <w:textAlignment w:val="baseline"/>
        <w:rPr>
          <w:rFonts w:eastAsia="Times New Roman"/>
          <w:b/>
          <w:color w:val="000000"/>
          <w:highlight w:val="yellow"/>
          <w:u w:val="single"/>
        </w:rPr>
      </w:pPr>
      <w:r w:rsidRPr="007F53DA">
        <w:rPr>
          <w:rFonts w:eastAsia="Times New Roman"/>
          <w:b/>
          <w:color w:val="000000"/>
          <w:highlight w:val="yellow"/>
          <w:u w:val="single"/>
        </w:rPr>
        <w:t>(b)</w:t>
      </w:r>
      <w:r w:rsidRPr="007F53DA">
        <w:rPr>
          <w:rFonts w:eastAsia="Times New Roman"/>
          <w:b/>
          <w:color w:val="000000"/>
          <w:highlight w:val="yellow"/>
          <w:u w:val="single"/>
        </w:rPr>
        <w:tab/>
        <w:t>G</w:t>
      </w:r>
      <w:r w:rsidR="009A22D4" w:rsidRPr="007F53DA">
        <w:rPr>
          <w:rFonts w:eastAsia="Times New Roman"/>
          <w:b/>
          <w:color w:val="000000"/>
          <w:highlight w:val="yellow"/>
          <w:u w:val="single"/>
        </w:rPr>
        <w:t xml:space="preserve">eneral merchandise or food store </w:t>
      </w:r>
      <w:r w:rsidR="00B822BB" w:rsidRPr="007F53DA">
        <w:rPr>
          <w:rFonts w:eastAsia="Times New Roman"/>
          <w:b/>
          <w:color w:val="000000"/>
          <w:highlight w:val="yellow"/>
          <w:u w:val="single"/>
        </w:rPr>
        <w:t>greater than 40,000 square feet</w:t>
      </w:r>
      <w:r w:rsidRPr="007F53DA">
        <w:rPr>
          <w:rFonts w:eastAsia="Times New Roman"/>
          <w:b/>
          <w:color w:val="000000"/>
          <w:highlight w:val="yellow"/>
          <w:u w:val="single"/>
        </w:rPr>
        <w:t>.</w:t>
      </w:r>
    </w:p>
    <w:p w14:paraId="049F3227" w14:textId="30818F98" w:rsidR="000C0D9B" w:rsidRPr="007F53DA" w:rsidRDefault="000C0D9B">
      <w:pPr>
        <w:spacing w:before="243" w:line="255" w:lineRule="exact"/>
        <w:ind w:left="72" w:right="72" w:firstLine="720"/>
        <w:jc w:val="both"/>
        <w:textAlignment w:val="baseline"/>
        <w:rPr>
          <w:rFonts w:eastAsia="Times New Roman"/>
          <w:b/>
          <w:color w:val="000000"/>
          <w:highlight w:val="yellow"/>
          <w:u w:val="single"/>
        </w:rPr>
      </w:pPr>
      <w:r w:rsidRPr="007F53DA">
        <w:rPr>
          <w:rFonts w:eastAsia="Times New Roman"/>
          <w:b/>
          <w:color w:val="000000"/>
          <w:highlight w:val="yellow"/>
          <w:u w:val="single"/>
        </w:rPr>
        <w:tab/>
        <w:t>(1)</w:t>
      </w:r>
      <w:r w:rsidRPr="007F53DA">
        <w:rPr>
          <w:rFonts w:eastAsia="Times New Roman"/>
          <w:b/>
          <w:color w:val="000000"/>
          <w:highlight w:val="yellow"/>
          <w:u w:val="single"/>
        </w:rPr>
        <w:tab/>
        <w:t xml:space="preserve">Interchangeable </w:t>
      </w:r>
      <w:r w:rsidR="006D4C16" w:rsidRPr="007F53DA">
        <w:rPr>
          <w:rFonts w:eastAsia="Times New Roman"/>
          <w:b/>
          <w:color w:val="000000"/>
          <w:highlight w:val="yellow"/>
          <w:u w:val="single"/>
        </w:rPr>
        <w:t>banners.</w:t>
      </w:r>
    </w:p>
    <w:p w14:paraId="6A53C7ED" w14:textId="2CF3C37A" w:rsidR="000C0D9B" w:rsidRPr="007F53DA" w:rsidRDefault="000C0D9B">
      <w:pPr>
        <w:spacing w:before="243" w:line="255" w:lineRule="exact"/>
        <w:ind w:left="72" w:right="72" w:firstLine="720"/>
        <w:jc w:val="both"/>
        <w:textAlignment w:val="baseline"/>
        <w:rPr>
          <w:rFonts w:eastAsia="Times New Roman"/>
          <w:b/>
          <w:color w:val="000000"/>
          <w:highlight w:val="yellow"/>
          <w:u w:val="single"/>
        </w:rPr>
      </w:pPr>
      <w:r w:rsidRPr="007F53DA">
        <w:rPr>
          <w:rFonts w:eastAsia="Times New Roman"/>
          <w:b/>
          <w:color w:val="000000"/>
          <w:highlight w:val="yellow"/>
          <w:u w:val="single"/>
        </w:rPr>
        <w:tab/>
      </w:r>
      <w:r w:rsidRPr="007F53DA">
        <w:rPr>
          <w:rFonts w:eastAsia="Times New Roman"/>
          <w:b/>
          <w:color w:val="000000"/>
          <w:highlight w:val="yellow"/>
          <w:u w:val="single"/>
        </w:rPr>
        <w:tab/>
        <w:t>(A)</w:t>
      </w:r>
      <w:r w:rsidRPr="007F53DA">
        <w:rPr>
          <w:rFonts w:eastAsia="Times New Roman"/>
          <w:b/>
          <w:color w:val="000000"/>
          <w:highlight w:val="yellow"/>
          <w:u w:val="single"/>
        </w:rPr>
        <w:tab/>
        <w:t xml:space="preserve">A maximum of three south-facing and two east-facing interchangeable </w:t>
      </w:r>
      <w:r w:rsidR="006D4C16" w:rsidRPr="007F53DA">
        <w:rPr>
          <w:rFonts w:eastAsia="Times New Roman"/>
          <w:b/>
          <w:color w:val="000000"/>
          <w:highlight w:val="yellow"/>
          <w:u w:val="single"/>
        </w:rPr>
        <w:t xml:space="preserve">banners </w:t>
      </w:r>
      <w:r w:rsidRPr="007F53DA">
        <w:rPr>
          <w:rFonts w:eastAsia="Times New Roman"/>
          <w:b/>
          <w:color w:val="000000"/>
          <w:highlight w:val="yellow"/>
          <w:u w:val="single"/>
        </w:rPr>
        <w:t>are allowed.</w:t>
      </w:r>
    </w:p>
    <w:p w14:paraId="2B29AD0F" w14:textId="534AF141" w:rsidR="000C0D9B" w:rsidRPr="007F53DA" w:rsidRDefault="000C0D9B">
      <w:pPr>
        <w:spacing w:before="243" w:line="255" w:lineRule="exact"/>
        <w:ind w:left="72" w:right="72" w:firstLine="720"/>
        <w:jc w:val="both"/>
        <w:textAlignment w:val="baseline"/>
        <w:rPr>
          <w:rFonts w:eastAsia="Times New Roman"/>
          <w:b/>
          <w:color w:val="000000"/>
          <w:highlight w:val="yellow"/>
          <w:u w:val="single"/>
        </w:rPr>
      </w:pPr>
      <w:r w:rsidRPr="007F53DA">
        <w:rPr>
          <w:rFonts w:eastAsia="Times New Roman"/>
          <w:b/>
          <w:color w:val="000000"/>
          <w:highlight w:val="yellow"/>
          <w:u w:val="single"/>
        </w:rPr>
        <w:tab/>
      </w:r>
      <w:r w:rsidRPr="007F53DA">
        <w:rPr>
          <w:rFonts w:eastAsia="Times New Roman"/>
          <w:b/>
          <w:color w:val="000000"/>
          <w:highlight w:val="yellow"/>
          <w:u w:val="single"/>
        </w:rPr>
        <w:tab/>
        <w:t>(B)</w:t>
      </w:r>
      <w:r w:rsidRPr="007F53DA">
        <w:rPr>
          <w:rFonts w:eastAsia="Times New Roman"/>
          <w:b/>
          <w:color w:val="000000"/>
          <w:highlight w:val="yellow"/>
          <w:u w:val="single"/>
        </w:rPr>
        <w:tab/>
        <w:t xml:space="preserve">Maximum effective area of an interchangeable </w:t>
      </w:r>
      <w:r w:rsidR="006D4C16" w:rsidRPr="007F53DA">
        <w:rPr>
          <w:rFonts w:eastAsia="Times New Roman"/>
          <w:b/>
          <w:color w:val="000000"/>
          <w:highlight w:val="yellow"/>
          <w:u w:val="single"/>
        </w:rPr>
        <w:t xml:space="preserve">banner </w:t>
      </w:r>
      <w:r w:rsidRPr="007F53DA">
        <w:rPr>
          <w:rFonts w:eastAsia="Times New Roman"/>
          <w:b/>
          <w:color w:val="000000"/>
          <w:highlight w:val="yellow"/>
          <w:u w:val="single"/>
        </w:rPr>
        <w:t>is 64 square feet.</w:t>
      </w:r>
    </w:p>
    <w:p w14:paraId="78E0E9BE" w14:textId="599D587A" w:rsidR="000C0D9B" w:rsidRPr="007F53DA" w:rsidRDefault="000C0D9B">
      <w:pPr>
        <w:spacing w:before="243" w:line="255" w:lineRule="exact"/>
        <w:ind w:left="72" w:right="72" w:firstLine="720"/>
        <w:jc w:val="both"/>
        <w:textAlignment w:val="baseline"/>
        <w:rPr>
          <w:rFonts w:eastAsia="Times New Roman"/>
          <w:b/>
          <w:color w:val="000000"/>
          <w:highlight w:val="yellow"/>
          <w:u w:val="single"/>
        </w:rPr>
      </w:pPr>
      <w:r w:rsidRPr="007F53DA">
        <w:rPr>
          <w:rFonts w:eastAsia="Times New Roman"/>
          <w:b/>
          <w:color w:val="000000"/>
          <w:highlight w:val="yellow"/>
          <w:u w:val="single"/>
        </w:rPr>
        <w:lastRenderedPageBreak/>
        <w:tab/>
      </w:r>
      <w:r w:rsidRPr="007F53DA">
        <w:rPr>
          <w:rFonts w:eastAsia="Times New Roman"/>
          <w:b/>
          <w:color w:val="000000"/>
          <w:highlight w:val="yellow"/>
          <w:u w:val="single"/>
        </w:rPr>
        <w:tab/>
        <w:t>(C)</w:t>
      </w:r>
      <w:r w:rsidRPr="007F53DA">
        <w:rPr>
          <w:rFonts w:eastAsia="Times New Roman"/>
          <w:b/>
          <w:color w:val="000000"/>
          <w:highlight w:val="yellow"/>
          <w:u w:val="single"/>
        </w:rPr>
        <w:tab/>
        <w:t xml:space="preserve">Interchangeable </w:t>
      </w:r>
      <w:r w:rsidR="006D4C16" w:rsidRPr="007F53DA">
        <w:rPr>
          <w:rFonts w:eastAsia="Times New Roman"/>
          <w:b/>
          <w:color w:val="000000"/>
          <w:highlight w:val="yellow"/>
          <w:u w:val="single"/>
        </w:rPr>
        <w:t xml:space="preserve">banners </w:t>
      </w:r>
      <w:r w:rsidRPr="007F53DA">
        <w:rPr>
          <w:rFonts w:eastAsia="Times New Roman"/>
          <w:b/>
          <w:color w:val="000000"/>
          <w:highlight w:val="yellow"/>
          <w:u w:val="single"/>
        </w:rPr>
        <w:t>may not be illuminated.</w:t>
      </w:r>
    </w:p>
    <w:p w14:paraId="6774214C" w14:textId="46CD3C14" w:rsidR="001315E8" w:rsidRPr="007F53DA" w:rsidRDefault="001315E8">
      <w:pPr>
        <w:spacing w:before="243" w:line="255" w:lineRule="exact"/>
        <w:ind w:left="72" w:right="72" w:firstLine="720"/>
        <w:jc w:val="both"/>
        <w:textAlignment w:val="baseline"/>
        <w:rPr>
          <w:rFonts w:eastAsia="Times New Roman"/>
          <w:b/>
          <w:color w:val="000000"/>
          <w:highlight w:val="yellow"/>
          <w:u w:val="single"/>
        </w:rPr>
      </w:pPr>
      <w:r w:rsidRPr="007F53DA">
        <w:rPr>
          <w:rFonts w:eastAsia="Times New Roman"/>
          <w:b/>
          <w:color w:val="000000"/>
          <w:highlight w:val="yellow"/>
          <w:u w:val="single"/>
        </w:rPr>
        <w:tab/>
      </w:r>
      <w:r w:rsidRPr="007F53DA">
        <w:rPr>
          <w:rFonts w:eastAsia="Times New Roman"/>
          <w:b/>
          <w:color w:val="000000"/>
          <w:highlight w:val="yellow"/>
          <w:u w:val="single"/>
        </w:rPr>
        <w:tab/>
        <w:t>(D)</w:t>
      </w:r>
      <w:r w:rsidRPr="007F53DA">
        <w:rPr>
          <w:rFonts w:eastAsia="Times New Roman"/>
          <w:b/>
          <w:color w:val="000000"/>
          <w:highlight w:val="yellow"/>
          <w:u w:val="single"/>
        </w:rPr>
        <w:tab/>
        <w:t xml:space="preserve">Interchangeable </w:t>
      </w:r>
      <w:r w:rsidR="006D4C16" w:rsidRPr="007F53DA">
        <w:rPr>
          <w:rFonts w:eastAsia="Times New Roman"/>
          <w:b/>
          <w:color w:val="000000"/>
          <w:highlight w:val="yellow"/>
          <w:u w:val="single"/>
        </w:rPr>
        <w:t xml:space="preserve">banners </w:t>
      </w:r>
      <w:r w:rsidRPr="007F53DA">
        <w:rPr>
          <w:rFonts w:eastAsia="Times New Roman"/>
          <w:b/>
          <w:color w:val="000000"/>
          <w:highlight w:val="yellow"/>
          <w:u w:val="single"/>
        </w:rPr>
        <w:t>are not subject to a word limit.</w:t>
      </w:r>
    </w:p>
    <w:p w14:paraId="6D2E4370" w14:textId="77777777" w:rsidR="001315E8" w:rsidRPr="007F53DA" w:rsidRDefault="001315E8">
      <w:pPr>
        <w:spacing w:before="243" w:line="255" w:lineRule="exact"/>
        <w:ind w:left="72" w:right="72" w:firstLine="720"/>
        <w:jc w:val="both"/>
        <w:textAlignment w:val="baseline"/>
        <w:rPr>
          <w:rFonts w:eastAsia="Times New Roman"/>
          <w:b/>
          <w:color w:val="000000"/>
          <w:highlight w:val="yellow"/>
          <w:u w:val="single"/>
        </w:rPr>
      </w:pPr>
      <w:r w:rsidRPr="007F53DA">
        <w:rPr>
          <w:rFonts w:eastAsia="Times New Roman"/>
          <w:b/>
          <w:color w:val="000000"/>
          <w:highlight w:val="yellow"/>
          <w:u w:val="single"/>
        </w:rPr>
        <w:tab/>
        <w:t>(2)</w:t>
      </w:r>
      <w:r w:rsidRPr="007F53DA">
        <w:rPr>
          <w:rFonts w:eastAsia="Times New Roman"/>
          <w:b/>
          <w:color w:val="000000"/>
          <w:highlight w:val="yellow"/>
          <w:u w:val="single"/>
        </w:rPr>
        <w:tab/>
        <w:t>Multi-tenant monument signs.</w:t>
      </w:r>
    </w:p>
    <w:p w14:paraId="22DE0FEF" w14:textId="77777777" w:rsidR="001315E8" w:rsidRPr="007F53DA" w:rsidRDefault="001315E8">
      <w:pPr>
        <w:spacing w:before="243" w:line="255" w:lineRule="exact"/>
        <w:ind w:left="72" w:right="72" w:firstLine="720"/>
        <w:jc w:val="both"/>
        <w:textAlignment w:val="baseline"/>
        <w:rPr>
          <w:rFonts w:eastAsia="Times New Roman"/>
          <w:b/>
          <w:color w:val="000000"/>
          <w:highlight w:val="yellow"/>
          <w:u w:val="single"/>
        </w:rPr>
      </w:pPr>
      <w:r w:rsidRPr="007F53DA">
        <w:rPr>
          <w:rFonts w:eastAsia="Times New Roman"/>
          <w:b/>
          <w:color w:val="000000"/>
          <w:highlight w:val="yellow"/>
          <w:u w:val="single"/>
        </w:rPr>
        <w:tab/>
      </w:r>
      <w:r w:rsidRPr="007F53DA">
        <w:rPr>
          <w:rFonts w:eastAsia="Times New Roman"/>
          <w:b/>
          <w:color w:val="000000"/>
          <w:highlight w:val="yellow"/>
          <w:u w:val="single"/>
        </w:rPr>
        <w:tab/>
        <w:t>(1)</w:t>
      </w:r>
      <w:r w:rsidRPr="007F53DA">
        <w:rPr>
          <w:rFonts w:eastAsia="Times New Roman"/>
          <w:b/>
          <w:color w:val="000000"/>
          <w:highlight w:val="yellow"/>
          <w:u w:val="single"/>
        </w:rPr>
        <w:tab/>
        <w:t>Two multi-tenant monument signs are allowed.</w:t>
      </w:r>
    </w:p>
    <w:p w14:paraId="3C15FB32" w14:textId="77777777" w:rsidR="001315E8" w:rsidRPr="007F53DA" w:rsidRDefault="001315E8">
      <w:pPr>
        <w:spacing w:before="243" w:line="255" w:lineRule="exact"/>
        <w:ind w:left="72" w:right="72" w:firstLine="720"/>
        <w:jc w:val="both"/>
        <w:textAlignment w:val="baseline"/>
        <w:rPr>
          <w:rFonts w:eastAsia="Times New Roman"/>
          <w:b/>
          <w:color w:val="000000"/>
          <w:highlight w:val="yellow"/>
          <w:u w:val="single"/>
        </w:rPr>
      </w:pPr>
      <w:r w:rsidRPr="007F53DA">
        <w:rPr>
          <w:rFonts w:eastAsia="Times New Roman"/>
          <w:b/>
          <w:color w:val="000000"/>
          <w:highlight w:val="yellow"/>
          <w:u w:val="single"/>
        </w:rPr>
        <w:tab/>
      </w:r>
      <w:r w:rsidRPr="007F53DA">
        <w:rPr>
          <w:rFonts w:eastAsia="Times New Roman"/>
          <w:b/>
          <w:color w:val="000000"/>
          <w:highlight w:val="yellow"/>
          <w:u w:val="single"/>
        </w:rPr>
        <w:tab/>
        <w:t>(2)</w:t>
      </w:r>
      <w:r w:rsidRPr="007F53DA">
        <w:rPr>
          <w:rFonts w:eastAsia="Times New Roman"/>
          <w:b/>
          <w:color w:val="000000"/>
          <w:highlight w:val="yellow"/>
          <w:u w:val="single"/>
        </w:rPr>
        <w:tab/>
        <w:t>Maximum height of a multi-tenant monument sign is 14 feet.</w:t>
      </w:r>
    </w:p>
    <w:p w14:paraId="32528FEC" w14:textId="77777777" w:rsidR="001315E8" w:rsidRPr="007F53DA" w:rsidRDefault="001315E8">
      <w:pPr>
        <w:spacing w:before="243" w:line="255" w:lineRule="exact"/>
        <w:ind w:left="72" w:right="72" w:firstLine="720"/>
        <w:jc w:val="both"/>
        <w:textAlignment w:val="baseline"/>
        <w:rPr>
          <w:rFonts w:eastAsia="Times New Roman"/>
          <w:b/>
          <w:color w:val="000000"/>
          <w:highlight w:val="yellow"/>
          <w:u w:val="single"/>
        </w:rPr>
      </w:pPr>
      <w:r w:rsidRPr="007F53DA">
        <w:rPr>
          <w:rFonts w:eastAsia="Times New Roman"/>
          <w:b/>
          <w:color w:val="000000"/>
          <w:highlight w:val="yellow"/>
          <w:u w:val="single"/>
        </w:rPr>
        <w:tab/>
      </w:r>
      <w:r w:rsidRPr="007F53DA">
        <w:rPr>
          <w:rFonts w:eastAsia="Times New Roman"/>
          <w:b/>
          <w:color w:val="000000"/>
          <w:highlight w:val="yellow"/>
          <w:u w:val="single"/>
        </w:rPr>
        <w:tab/>
        <w:t>(3)</w:t>
      </w:r>
      <w:r w:rsidRPr="007F53DA">
        <w:rPr>
          <w:rFonts w:eastAsia="Times New Roman"/>
          <w:b/>
          <w:color w:val="000000"/>
          <w:highlight w:val="yellow"/>
          <w:u w:val="single"/>
        </w:rPr>
        <w:tab/>
        <w:t>Maximum width of a multi-tenant monument sign is 13 feet.</w:t>
      </w:r>
    </w:p>
    <w:p w14:paraId="246813A6" w14:textId="77777777" w:rsidR="001315E8" w:rsidRDefault="001315E8">
      <w:pPr>
        <w:spacing w:before="243" w:line="255" w:lineRule="exact"/>
        <w:ind w:left="72" w:right="72" w:firstLine="720"/>
        <w:jc w:val="both"/>
        <w:textAlignment w:val="baseline"/>
        <w:rPr>
          <w:rFonts w:eastAsia="Times New Roman"/>
          <w:b/>
          <w:color w:val="000000"/>
          <w:u w:val="single"/>
        </w:rPr>
      </w:pPr>
      <w:r w:rsidRPr="007F53DA">
        <w:rPr>
          <w:rFonts w:eastAsia="Times New Roman"/>
          <w:b/>
          <w:color w:val="000000"/>
          <w:highlight w:val="yellow"/>
          <w:u w:val="single"/>
        </w:rPr>
        <w:tab/>
      </w:r>
      <w:r w:rsidRPr="007F53DA">
        <w:rPr>
          <w:rFonts w:eastAsia="Times New Roman"/>
          <w:b/>
          <w:color w:val="000000"/>
          <w:highlight w:val="yellow"/>
          <w:u w:val="single"/>
        </w:rPr>
        <w:tab/>
        <w:t>(4)</w:t>
      </w:r>
      <w:r w:rsidRPr="007F53DA">
        <w:rPr>
          <w:rFonts w:eastAsia="Times New Roman"/>
          <w:b/>
          <w:color w:val="000000"/>
          <w:highlight w:val="yellow"/>
          <w:u w:val="single"/>
        </w:rPr>
        <w:tab/>
        <w:t>A multi-tenant monument sign must be set back a minimum of three feet from the Property line.</w:t>
      </w:r>
    </w:p>
    <w:p w14:paraId="258EEEC0" w14:textId="77777777" w:rsidR="00872006" w:rsidRDefault="002D72B0">
      <w:pPr>
        <w:tabs>
          <w:tab w:val="left" w:pos="2880"/>
        </w:tabs>
        <w:spacing w:before="515" w:line="249" w:lineRule="exact"/>
        <w:ind w:left="72"/>
        <w:jc w:val="both"/>
        <w:textAlignment w:val="baseline"/>
        <w:rPr>
          <w:rFonts w:eastAsia="Times New Roman"/>
          <w:b/>
          <w:color w:val="000000"/>
        </w:rPr>
      </w:pPr>
      <w:r>
        <w:rPr>
          <w:rFonts w:eastAsia="Times New Roman"/>
          <w:b/>
          <w:color w:val="000000"/>
        </w:rPr>
        <w:t>SEC. 51P-70.114.</w:t>
      </w:r>
      <w:r>
        <w:rPr>
          <w:rFonts w:eastAsia="Times New Roman"/>
          <w:b/>
          <w:color w:val="000000"/>
        </w:rPr>
        <w:tab/>
        <w:t>SCREENING WALL.</w:t>
      </w:r>
    </w:p>
    <w:p w14:paraId="776A0A6C" w14:textId="77777777" w:rsidR="00872006" w:rsidRDefault="002D72B0" w:rsidP="007F53DA">
      <w:pPr>
        <w:spacing w:before="244" w:line="254" w:lineRule="exact"/>
        <w:ind w:right="72"/>
        <w:jc w:val="both"/>
        <w:textAlignment w:val="baseline"/>
        <w:rPr>
          <w:rFonts w:eastAsia="Times New Roman"/>
          <w:color w:val="000000"/>
        </w:rPr>
      </w:pPr>
      <w:r>
        <w:rPr>
          <w:rFonts w:eastAsia="Times New Roman"/>
          <w:color w:val="000000"/>
        </w:rPr>
        <w:t>The nine-foot and six-foot solid masonry walls provided along the north and east sides of the Property must be properly maintained. (Ord. Nos. 14645; 25423; 25884; 28905)</w:t>
      </w:r>
    </w:p>
    <w:p w14:paraId="49BD59CC" w14:textId="77777777" w:rsidR="00872006" w:rsidRDefault="002D72B0">
      <w:pPr>
        <w:tabs>
          <w:tab w:val="left" w:pos="2880"/>
        </w:tabs>
        <w:spacing w:before="516" w:line="249" w:lineRule="exact"/>
        <w:ind w:left="72"/>
        <w:jc w:val="both"/>
        <w:textAlignment w:val="baseline"/>
        <w:rPr>
          <w:rFonts w:eastAsia="Times New Roman"/>
          <w:b/>
          <w:color w:val="000000"/>
        </w:rPr>
      </w:pPr>
      <w:r>
        <w:rPr>
          <w:rFonts w:eastAsia="Times New Roman"/>
          <w:b/>
          <w:color w:val="000000"/>
        </w:rPr>
        <w:t>SEC. 51P-70.115.</w:t>
      </w:r>
      <w:r>
        <w:rPr>
          <w:rFonts w:eastAsia="Times New Roman"/>
          <w:b/>
          <w:color w:val="000000"/>
        </w:rPr>
        <w:tab/>
        <w:t>ADDITIONAL PROVISIONS.</w:t>
      </w:r>
    </w:p>
    <w:p w14:paraId="002AD136" w14:textId="77777777" w:rsidR="00872006" w:rsidRDefault="002D72B0">
      <w:pPr>
        <w:tabs>
          <w:tab w:val="left" w:pos="1512"/>
        </w:tabs>
        <w:spacing w:before="255" w:line="248" w:lineRule="exact"/>
        <w:ind w:left="792"/>
        <w:jc w:val="both"/>
        <w:textAlignment w:val="baseline"/>
        <w:rPr>
          <w:rFonts w:eastAsia="Times New Roman"/>
          <w:color w:val="000000"/>
        </w:rPr>
      </w:pPr>
      <w:r>
        <w:rPr>
          <w:rFonts w:eastAsia="Times New Roman"/>
          <w:color w:val="000000"/>
        </w:rPr>
        <w:t>(a)</w:t>
      </w:r>
      <w:r>
        <w:rPr>
          <w:rFonts w:eastAsia="Times New Roman"/>
          <w:color w:val="000000"/>
        </w:rPr>
        <w:tab/>
        <w:t>The Property must be properly maintained in a state of good repair and neat appearance.</w:t>
      </w:r>
    </w:p>
    <w:p w14:paraId="05A8BFE4" w14:textId="77777777" w:rsidR="00872006" w:rsidRDefault="00872006"/>
    <w:p w14:paraId="35D634F1" w14:textId="77777777" w:rsidR="002D72B0" w:rsidRDefault="002D72B0" w:rsidP="002D72B0">
      <w:pPr>
        <w:tabs>
          <w:tab w:val="left" w:pos="1440"/>
        </w:tabs>
        <w:spacing w:before="1" w:line="253" w:lineRule="exact"/>
        <w:ind w:right="72" w:firstLine="792"/>
        <w:jc w:val="both"/>
        <w:textAlignment w:val="baseline"/>
        <w:rPr>
          <w:rFonts w:eastAsia="Times New Roman"/>
          <w:color w:val="000000"/>
        </w:rPr>
      </w:pPr>
      <w:r>
        <w:rPr>
          <w:rFonts w:eastAsia="Times New Roman"/>
          <w:color w:val="000000"/>
        </w:rPr>
        <w:t>(b)</w:t>
      </w:r>
      <w:r>
        <w:rPr>
          <w:rFonts w:eastAsia="Times New Roman"/>
          <w:color w:val="000000"/>
        </w:rPr>
        <w:tab/>
        <w:t>Development and use of the Property must comply with all federal and state law and regulations, and with all ordinances, rules, and regulations of the city. (Ord. Nos. 14645; 25423; 25884; 28905)</w:t>
      </w:r>
    </w:p>
    <w:p w14:paraId="75B9E2B7" w14:textId="77777777" w:rsidR="002D72B0" w:rsidRDefault="002D72B0" w:rsidP="002D72B0">
      <w:pPr>
        <w:tabs>
          <w:tab w:val="left" w:pos="2880"/>
        </w:tabs>
        <w:spacing w:before="517" w:line="249" w:lineRule="exact"/>
        <w:ind w:right="72"/>
        <w:textAlignment w:val="baseline"/>
        <w:rPr>
          <w:rFonts w:eastAsia="Times New Roman"/>
          <w:b/>
          <w:color w:val="000000"/>
        </w:rPr>
      </w:pPr>
      <w:r>
        <w:rPr>
          <w:rFonts w:eastAsia="Times New Roman"/>
          <w:b/>
          <w:color w:val="000000"/>
        </w:rPr>
        <w:t>SEC. 51P- 70.116.</w:t>
      </w:r>
      <w:r>
        <w:rPr>
          <w:rFonts w:eastAsia="Times New Roman"/>
          <w:b/>
          <w:color w:val="000000"/>
        </w:rPr>
        <w:tab/>
        <w:t>COMPLIANCE WITH CONDITIONS.</w:t>
      </w:r>
    </w:p>
    <w:p w14:paraId="773B8661" w14:textId="77777777" w:rsidR="002D72B0" w:rsidRDefault="002D72B0" w:rsidP="002D72B0">
      <w:pPr>
        <w:numPr>
          <w:ilvl w:val="0"/>
          <w:numId w:val="8"/>
        </w:numPr>
        <w:tabs>
          <w:tab w:val="left" w:pos="720"/>
          <w:tab w:val="left" w:pos="1512"/>
        </w:tabs>
        <w:spacing w:before="246" w:line="253" w:lineRule="exact"/>
        <w:ind w:left="0" w:right="72" w:firstLine="810"/>
        <w:jc w:val="both"/>
        <w:textAlignment w:val="baseline"/>
        <w:rPr>
          <w:rFonts w:eastAsia="Times New Roman"/>
          <w:color w:val="000000"/>
        </w:rPr>
      </w:pPr>
      <w:r>
        <w:rPr>
          <w:rFonts w:eastAsia="Times New Roman"/>
          <w:color w:val="000000"/>
        </w:rPr>
        <w:t>All paved areas, permanent drives, streets, and drainage structures, if any, must be constructed in accordance with standard city specifications, and completed to the satisfaction of the director of public works and transportation.</w:t>
      </w:r>
    </w:p>
    <w:p w14:paraId="419F39D7" w14:textId="77777777" w:rsidR="002D72B0" w:rsidRDefault="002D72B0" w:rsidP="002D72B0">
      <w:pPr>
        <w:numPr>
          <w:ilvl w:val="0"/>
          <w:numId w:val="8"/>
        </w:numPr>
        <w:tabs>
          <w:tab w:val="left" w:pos="1512"/>
        </w:tabs>
        <w:spacing w:before="255" w:line="253" w:lineRule="exact"/>
        <w:ind w:left="0" w:right="72" w:firstLine="810"/>
        <w:jc w:val="both"/>
        <w:textAlignment w:val="baseline"/>
        <w:rPr>
          <w:rFonts w:eastAsia="Times New Roman"/>
          <w:color w:val="000000"/>
        </w:rPr>
      </w:pPr>
      <w:r>
        <w:rPr>
          <w:rFonts w:eastAsia="Times New Roman"/>
          <w:color w:val="000000"/>
        </w:rPr>
        <w:t>The building official shall not issue a building permit to authorize work, or a certificate of occupancy to authorize the operation of a use, until there has been full compliance with this article, the Dallas Development Code, the construction codes, and all other ordinances, rules, and regulations of the city. (Ord. Nos. 14645; 25423; 25884; 28905)</w:t>
      </w:r>
    </w:p>
    <w:p w14:paraId="48693CC6" w14:textId="77777777" w:rsidR="00872006" w:rsidRDefault="00872006" w:rsidP="007F53DA">
      <w:pPr>
        <w:tabs>
          <w:tab w:val="left" w:pos="1440"/>
        </w:tabs>
        <w:spacing w:before="1" w:line="253" w:lineRule="exact"/>
        <w:ind w:right="72"/>
        <w:jc w:val="both"/>
        <w:textAlignment w:val="baseline"/>
        <w:rPr>
          <w:rFonts w:eastAsia="Times New Roman"/>
          <w:color w:val="000000"/>
        </w:rPr>
      </w:pPr>
    </w:p>
    <w:sectPr w:rsidR="00872006" w:rsidSect="007F53DA">
      <w:pgSz w:w="12240" w:h="15840"/>
      <w:pgMar w:top="1440" w:right="1355" w:bottom="2160" w:left="13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6FC5"/>
    <w:multiLevelType w:val="multilevel"/>
    <w:tmpl w:val="5AE8FCBE"/>
    <w:lvl w:ilvl="0">
      <w:start w:val="2"/>
      <w:numFmt w:val="decimal"/>
      <w:lvlText w:val="(%1)"/>
      <w:lvlJc w:val="left"/>
      <w:pPr>
        <w:tabs>
          <w:tab w:val="left" w:pos="720"/>
        </w:tabs>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E2D26"/>
    <w:multiLevelType w:val="hybridMultilevel"/>
    <w:tmpl w:val="7DAA6100"/>
    <w:lvl w:ilvl="0" w:tplc="76D0A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D4DE9"/>
    <w:multiLevelType w:val="hybridMultilevel"/>
    <w:tmpl w:val="CFDA7E52"/>
    <w:lvl w:ilvl="0" w:tplc="918C1A3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5AAE112D"/>
    <w:multiLevelType w:val="multilevel"/>
    <w:tmpl w:val="6254C874"/>
    <w:lvl w:ilvl="0">
      <w:start w:val="1"/>
      <w:numFmt w:val="upperLetter"/>
      <w:lvlText w:val="(%1)"/>
      <w:lvlJc w:val="left"/>
      <w:pPr>
        <w:tabs>
          <w:tab w:val="left" w:pos="720"/>
        </w:tabs>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002C65"/>
    <w:multiLevelType w:val="multilevel"/>
    <w:tmpl w:val="A02434CE"/>
    <w:lvl w:ilvl="0">
      <w:start w:val="1"/>
      <w:numFmt w:val="lowerLetter"/>
      <w:lvlText w:val="(%1)"/>
      <w:lvlJc w:val="left"/>
      <w:pPr>
        <w:tabs>
          <w:tab w:val="left" w:pos="720"/>
        </w:tabs>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4935C2"/>
    <w:multiLevelType w:val="hybridMultilevel"/>
    <w:tmpl w:val="0D1AE4E6"/>
    <w:lvl w:ilvl="0" w:tplc="918C1A3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6AB97F74"/>
    <w:multiLevelType w:val="hybridMultilevel"/>
    <w:tmpl w:val="0D1AE4E6"/>
    <w:lvl w:ilvl="0" w:tplc="918C1A3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75300EBD"/>
    <w:multiLevelType w:val="multilevel"/>
    <w:tmpl w:val="2814FEC6"/>
    <w:lvl w:ilvl="0">
      <w:start w:val="1"/>
      <w:numFmt w:val="decimal"/>
      <w:lvlText w:val="(%1)"/>
      <w:lvlJc w:val="left"/>
      <w:pPr>
        <w:tabs>
          <w:tab w:val="left" w:pos="720"/>
        </w:tabs>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0"/>
  </w:num>
  <w:num w:numId="4">
    <w:abstractNumId w:val="3"/>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6"/>
    <w:rsid w:val="000C0D9B"/>
    <w:rsid w:val="000E3190"/>
    <w:rsid w:val="001315E8"/>
    <w:rsid w:val="001B1E58"/>
    <w:rsid w:val="002D72B0"/>
    <w:rsid w:val="003E346E"/>
    <w:rsid w:val="006B7A8C"/>
    <w:rsid w:val="006D4C16"/>
    <w:rsid w:val="007F53DA"/>
    <w:rsid w:val="00872006"/>
    <w:rsid w:val="009A22D4"/>
    <w:rsid w:val="00B822BB"/>
    <w:rsid w:val="00C00AEC"/>
    <w:rsid w:val="00C15351"/>
    <w:rsid w:val="00D31289"/>
    <w:rsid w:val="00E6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F2C6"/>
  <w15:docId w15:val="{B3E101E6-7EB3-44F4-95EA-71915FF7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2D4"/>
    <w:pPr>
      <w:ind w:left="720"/>
      <w:contextualSpacing/>
    </w:pPr>
  </w:style>
  <w:style w:type="character" w:styleId="CommentReference">
    <w:name w:val="annotation reference"/>
    <w:basedOn w:val="DefaultParagraphFont"/>
    <w:uiPriority w:val="99"/>
    <w:semiHidden/>
    <w:unhideWhenUsed/>
    <w:rsid w:val="000C0D9B"/>
    <w:rPr>
      <w:sz w:val="16"/>
      <w:szCs w:val="16"/>
    </w:rPr>
  </w:style>
  <w:style w:type="paragraph" w:styleId="CommentText">
    <w:name w:val="annotation text"/>
    <w:basedOn w:val="Normal"/>
    <w:link w:val="CommentTextChar"/>
    <w:uiPriority w:val="99"/>
    <w:semiHidden/>
    <w:unhideWhenUsed/>
    <w:rsid w:val="000C0D9B"/>
    <w:rPr>
      <w:sz w:val="20"/>
      <w:szCs w:val="20"/>
    </w:rPr>
  </w:style>
  <w:style w:type="character" w:customStyle="1" w:styleId="CommentTextChar">
    <w:name w:val="Comment Text Char"/>
    <w:basedOn w:val="DefaultParagraphFont"/>
    <w:link w:val="CommentText"/>
    <w:uiPriority w:val="99"/>
    <w:semiHidden/>
    <w:rsid w:val="000C0D9B"/>
    <w:rPr>
      <w:sz w:val="20"/>
      <w:szCs w:val="20"/>
    </w:rPr>
  </w:style>
  <w:style w:type="paragraph" w:styleId="CommentSubject">
    <w:name w:val="annotation subject"/>
    <w:basedOn w:val="CommentText"/>
    <w:next w:val="CommentText"/>
    <w:link w:val="CommentSubjectChar"/>
    <w:uiPriority w:val="99"/>
    <w:semiHidden/>
    <w:unhideWhenUsed/>
    <w:rsid w:val="000C0D9B"/>
    <w:rPr>
      <w:b/>
      <w:bCs/>
    </w:rPr>
  </w:style>
  <w:style w:type="character" w:customStyle="1" w:styleId="CommentSubjectChar">
    <w:name w:val="Comment Subject Char"/>
    <w:basedOn w:val="CommentTextChar"/>
    <w:link w:val="CommentSubject"/>
    <w:uiPriority w:val="99"/>
    <w:semiHidden/>
    <w:rsid w:val="000C0D9B"/>
    <w:rPr>
      <w:b/>
      <w:bCs/>
      <w:sz w:val="20"/>
      <w:szCs w:val="20"/>
    </w:rPr>
  </w:style>
  <w:style w:type="paragraph" w:styleId="BalloonText">
    <w:name w:val="Balloon Text"/>
    <w:basedOn w:val="Normal"/>
    <w:link w:val="BalloonTextChar"/>
    <w:uiPriority w:val="99"/>
    <w:semiHidden/>
    <w:unhideWhenUsed/>
    <w:rsid w:val="000C0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fId" Type="http://schemas.openxmlformats.org/wordprocessingml/2006/fontTable" Target="fontTable0.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E2CF45-8548-41AA-95FF-10019F27B89D}"/>
</file>

<file path=customXml/itemProps2.xml><?xml version="1.0" encoding="utf-8"?>
<ds:datastoreItem xmlns:ds="http://schemas.openxmlformats.org/officeDocument/2006/customXml" ds:itemID="{2F34BD85-20EA-4751-9957-C01F1411808C}"/>
</file>

<file path=customXml/itemProps3.xml><?xml version="1.0" encoding="utf-8"?>
<ds:datastoreItem xmlns:ds="http://schemas.openxmlformats.org/officeDocument/2006/customXml" ds:itemID="{DE608E1A-6E75-409D-A818-D4A305835BF0}"/>
</file>

<file path=docProps/app.xml><?xml version="1.0" encoding="utf-8"?>
<Properties xmlns="http://schemas.openxmlformats.org/officeDocument/2006/extended-properties" xmlns:vt="http://schemas.openxmlformats.org/officeDocument/2006/docPropsVTypes">
  <Template>Normal.dotm</Template>
  <TotalTime>1</TotalTime>
  <Pages>5</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Crawley</dc:creator>
  <cp:lastModifiedBy>Munoz, Jennifer</cp:lastModifiedBy>
  <cp:revision>3</cp:revision>
  <dcterms:created xsi:type="dcterms:W3CDTF">2017-09-21T13:45:00Z</dcterms:created>
  <dcterms:modified xsi:type="dcterms:W3CDTF">2017-09-21T16:09:00Z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